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Pr="00087428" w:rsidR="008B6494" w:rsidP="007A61C1" w:rsidRDefault="00840DD3" w14:paraId="3E747EFC" w14:textId="043B4F52">
      <w:pPr>
        <w:jc w:val="center"/>
        <w:rPr>
          <w:rFonts w:ascii="Verdana" w:hAnsi="Verdana"/>
          <w:b/>
          <w:bCs/>
          <w:sz w:val="24"/>
          <w:szCs w:val="24"/>
        </w:rPr>
      </w:pPr>
      <w:r w:rsidRPr="00087428">
        <w:rPr>
          <w:rFonts w:ascii="Verdana" w:hAnsi="Verdana"/>
          <w:b/>
          <w:bCs/>
          <w:sz w:val="24"/>
          <w:szCs w:val="24"/>
        </w:rPr>
        <w:t xml:space="preserve">ESTUDIO DE LA VIABILIDAD </w:t>
      </w:r>
      <w:r w:rsidR="000E5DBE">
        <w:rPr>
          <w:rFonts w:ascii="Verdana" w:hAnsi="Verdana"/>
          <w:b/>
          <w:bCs/>
          <w:sz w:val="24"/>
          <w:szCs w:val="24"/>
        </w:rPr>
        <w:t>D</w:t>
      </w:r>
      <w:r w:rsidRPr="00087428">
        <w:rPr>
          <w:rFonts w:ascii="Verdana" w:hAnsi="Verdana"/>
          <w:b/>
          <w:bCs/>
          <w:sz w:val="24"/>
          <w:szCs w:val="24"/>
        </w:rPr>
        <w:t xml:space="preserve">EL APROVECHAMIENTO DEL </w:t>
      </w:r>
      <w:r w:rsidRPr="00087428" w:rsidR="1BB7E967">
        <w:rPr>
          <w:rFonts w:ascii="Verdana" w:hAnsi="Verdana"/>
          <w:b/>
          <w:bCs/>
          <w:sz w:val="24"/>
          <w:szCs w:val="24"/>
        </w:rPr>
        <w:t>PERICARPIO DE MANGOSTINO (</w:t>
      </w:r>
      <w:proofErr w:type="spellStart"/>
      <w:r w:rsidRPr="00087428" w:rsidR="1BB7E967">
        <w:rPr>
          <w:rFonts w:ascii="Verdana" w:hAnsi="Verdana"/>
          <w:b/>
          <w:bCs/>
          <w:i/>
          <w:iCs/>
          <w:sz w:val="24"/>
          <w:szCs w:val="24"/>
        </w:rPr>
        <w:t>Garcinia</w:t>
      </w:r>
      <w:proofErr w:type="spellEnd"/>
      <w:r w:rsidRPr="00087428" w:rsidR="1BB7E967">
        <w:rPr>
          <w:rFonts w:ascii="Verdana" w:hAnsi="Verdana"/>
          <w:b/>
          <w:bCs/>
          <w:i/>
          <w:iCs/>
          <w:sz w:val="24"/>
          <w:szCs w:val="24"/>
        </w:rPr>
        <w:t xml:space="preserve"> </w:t>
      </w:r>
      <w:proofErr w:type="spellStart"/>
      <w:r w:rsidRPr="00087428" w:rsidR="1BB7E967">
        <w:rPr>
          <w:rFonts w:ascii="Verdana" w:hAnsi="Verdana"/>
          <w:b/>
          <w:bCs/>
          <w:i/>
          <w:iCs/>
          <w:sz w:val="24"/>
          <w:szCs w:val="24"/>
        </w:rPr>
        <w:t>mangostana</w:t>
      </w:r>
      <w:proofErr w:type="spellEnd"/>
      <w:r w:rsidRPr="00087428" w:rsidR="1BB7E967">
        <w:rPr>
          <w:rFonts w:ascii="Verdana" w:hAnsi="Verdana"/>
          <w:b/>
          <w:bCs/>
          <w:sz w:val="24"/>
          <w:szCs w:val="24"/>
        </w:rPr>
        <w:t xml:space="preserve">) PARA LA OBTENCIÓN DE </w:t>
      </w:r>
      <w:r w:rsidRPr="00087428">
        <w:rPr>
          <w:rFonts w:ascii="Verdana" w:hAnsi="Verdana"/>
          <w:b/>
          <w:bCs/>
          <w:sz w:val="24"/>
          <w:szCs w:val="24"/>
        </w:rPr>
        <w:t>COMPUESTOS FENÓLICOS</w:t>
      </w:r>
    </w:p>
    <w:p w:rsidR="007A61C1" w:rsidP="000E5DBE" w:rsidRDefault="000E5DBE" w14:paraId="0C71DCD4" w14:textId="368BB1AF">
      <w:pPr>
        <w:jc w:val="center"/>
        <w:rPr>
          <w:rFonts w:ascii="Verdana" w:hAnsi="Verdana"/>
          <w:b/>
          <w:sz w:val="24"/>
          <w:szCs w:val="24"/>
          <w:lang w:val="en-US"/>
        </w:rPr>
      </w:pPr>
      <w:r w:rsidRPr="000E5DBE">
        <w:rPr>
          <w:rFonts w:ascii="Verdana" w:hAnsi="Verdana"/>
          <w:b/>
          <w:sz w:val="24"/>
          <w:szCs w:val="24"/>
          <w:lang w:val="en-US"/>
        </w:rPr>
        <w:t xml:space="preserve">FEASIBILITY STUDY FOR USING MANGOSTEEN </w:t>
      </w:r>
      <w:r w:rsidRPr="00697078">
        <w:rPr>
          <w:rFonts w:ascii="Verdana" w:hAnsi="Verdana"/>
          <w:b/>
          <w:bCs/>
          <w:sz w:val="24"/>
          <w:szCs w:val="24"/>
          <w:lang w:val="en-US"/>
        </w:rPr>
        <w:t>(</w:t>
      </w:r>
      <w:r w:rsidRPr="00697078">
        <w:rPr>
          <w:rFonts w:ascii="Verdana" w:hAnsi="Verdana"/>
          <w:b/>
          <w:bCs/>
          <w:i/>
          <w:iCs/>
          <w:sz w:val="24"/>
          <w:szCs w:val="24"/>
          <w:lang w:val="en-US"/>
        </w:rPr>
        <w:t xml:space="preserve">Garcinia </w:t>
      </w:r>
      <w:proofErr w:type="spellStart"/>
      <w:r w:rsidRPr="00697078">
        <w:rPr>
          <w:rFonts w:ascii="Verdana" w:hAnsi="Verdana"/>
          <w:b/>
          <w:bCs/>
          <w:i/>
          <w:iCs/>
          <w:sz w:val="24"/>
          <w:szCs w:val="24"/>
          <w:lang w:val="en-US"/>
        </w:rPr>
        <w:t>mangostana</w:t>
      </w:r>
      <w:proofErr w:type="spellEnd"/>
      <w:r w:rsidRPr="00697078">
        <w:rPr>
          <w:rFonts w:ascii="Verdana" w:hAnsi="Verdana"/>
          <w:b/>
          <w:bCs/>
          <w:sz w:val="24"/>
          <w:szCs w:val="24"/>
          <w:lang w:val="en-US"/>
        </w:rPr>
        <w:t xml:space="preserve">) </w:t>
      </w:r>
      <w:r w:rsidRPr="000E5DBE">
        <w:rPr>
          <w:rFonts w:ascii="Verdana" w:hAnsi="Verdana"/>
          <w:b/>
          <w:sz w:val="24"/>
          <w:szCs w:val="24"/>
          <w:lang w:val="en-US"/>
        </w:rPr>
        <w:t>PERICARP FOR OBTAINING PHENOLIC COMPOUNDS</w:t>
      </w:r>
    </w:p>
    <w:p w:rsidRPr="000E5DBE" w:rsidR="000E5DBE" w:rsidP="000E5DBE" w:rsidRDefault="000E5DBE" w14:paraId="2C39915E" w14:textId="77777777">
      <w:pPr>
        <w:jc w:val="center"/>
        <w:rPr>
          <w:rFonts w:ascii="Verdana" w:hAnsi="Verdana"/>
          <w:sz w:val="24"/>
          <w:szCs w:val="24"/>
          <w:lang w:val="en-US"/>
        </w:rPr>
      </w:pPr>
    </w:p>
    <w:p w:rsidR="0067264E" w:rsidP="0067264E" w:rsidRDefault="0067264E" w14:paraId="1431076C" w14:textId="3C3BB742">
      <w:pPr>
        <w:spacing w:after="0" w:line="240" w:lineRule="auto"/>
        <w:jc w:val="both"/>
        <w:rPr>
          <w:rFonts w:ascii="Verdana" w:hAnsi="Verdana"/>
          <w:sz w:val="24"/>
          <w:szCs w:val="24"/>
        </w:rPr>
      </w:pPr>
      <w:r w:rsidRPr="17BC07B1">
        <w:rPr>
          <w:rFonts w:ascii="Verdana" w:hAnsi="Verdana"/>
          <w:sz w:val="24"/>
          <w:szCs w:val="24"/>
        </w:rPr>
        <w:t xml:space="preserve">Autor </w:t>
      </w:r>
      <w:r>
        <w:rPr>
          <w:rFonts w:ascii="Verdana" w:hAnsi="Verdana"/>
          <w:sz w:val="24"/>
          <w:szCs w:val="24"/>
        </w:rPr>
        <w:t>1</w:t>
      </w:r>
      <w:r w:rsidRPr="17BC07B1">
        <w:rPr>
          <w:rFonts w:ascii="Verdana" w:hAnsi="Verdana"/>
          <w:sz w:val="24"/>
          <w:szCs w:val="24"/>
        </w:rPr>
        <w:t xml:space="preserve"> – Laura María Reyes Méndez</w:t>
      </w:r>
    </w:p>
    <w:p w:rsidR="0067264E" w:rsidP="0067264E" w:rsidRDefault="0067264E" w14:paraId="37F66E4F" w14:textId="77777777">
      <w:pPr>
        <w:spacing w:after="0" w:line="240" w:lineRule="auto"/>
        <w:jc w:val="both"/>
      </w:pPr>
      <w:r w:rsidRPr="17BC07B1">
        <w:rPr>
          <w:rFonts w:ascii="Verdana" w:hAnsi="Verdana"/>
          <w:sz w:val="24"/>
          <w:szCs w:val="24"/>
        </w:rPr>
        <w:t xml:space="preserve">Ingeniera Agroindustrial, Doctora en Ingeniería de Alimentos. Laboratorio de Investigación y Desarrollo Agroalimentario – LIDA, Universidad Nacional Abierta y a Distancia – UNAD. </w:t>
      </w:r>
    </w:p>
    <w:p w:rsidRPr="000C39B8" w:rsidR="0067264E" w:rsidP="0067264E" w:rsidRDefault="0067264E" w14:paraId="03F2AFC2" w14:textId="2320BA5A">
      <w:pPr>
        <w:spacing w:after="0" w:line="240" w:lineRule="auto"/>
        <w:jc w:val="both"/>
        <w:rPr>
          <w:rFonts w:ascii="Verdana" w:hAnsi="Verdana"/>
          <w:sz w:val="24"/>
          <w:szCs w:val="24"/>
          <w:lang w:val="en-US"/>
        </w:rPr>
      </w:pPr>
      <w:r w:rsidRPr="000C39B8">
        <w:rPr>
          <w:rFonts w:ascii="Verdana" w:hAnsi="Verdana"/>
          <w:sz w:val="24"/>
          <w:szCs w:val="24"/>
          <w:lang w:val="en-US"/>
        </w:rPr>
        <w:t xml:space="preserve">ORCID </w:t>
      </w:r>
      <w:hyperlink w:history="1" r:id="rId7">
        <w:r w:rsidRPr="000C39B8" w:rsidR="000F74F5">
          <w:rPr>
            <w:rStyle w:val="Hipervnculo"/>
            <w:rFonts w:ascii="Verdana" w:hAnsi="Verdana"/>
            <w:sz w:val="24"/>
            <w:szCs w:val="24"/>
            <w:lang w:val="en-US"/>
          </w:rPr>
          <w:t>https://orcid.org/0000-0002-3782-8747</w:t>
        </w:r>
      </w:hyperlink>
      <w:r w:rsidRPr="000C39B8" w:rsidR="000F74F5">
        <w:rPr>
          <w:rFonts w:ascii="Verdana" w:hAnsi="Verdana"/>
          <w:sz w:val="24"/>
          <w:szCs w:val="24"/>
          <w:lang w:val="en-US"/>
        </w:rPr>
        <w:t xml:space="preserve"> </w:t>
      </w:r>
    </w:p>
    <w:p w:rsidR="0067264E" w:rsidP="0067264E" w:rsidRDefault="0067264E" w14:paraId="104D5DE7" w14:textId="5C51DFD4">
      <w:pPr>
        <w:spacing w:after="0" w:line="240" w:lineRule="auto"/>
        <w:jc w:val="both"/>
        <w:rPr>
          <w:rFonts w:ascii="Verdana" w:hAnsi="Verdana"/>
          <w:sz w:val="24"/>
          <w:szCs w:val="24"/>
        </w:rPr>
      </w:pPr>
      <w:r w:rsidRPr="000C39B8">
        <w:rPr>
          <w:rFonts w:ascii="Verdana" w:hAnsi="Verdana"/>
          <w:sz w:val="24"/>
          <w:szCs w:val="24"/>
          <w:lang w:val="en-US"/>
        </w:rPr>
        <w:t xml:space="preserve">email. </w:t>
      </w:r>
      <w:hyperlink w:history="1" r:id="rId8">
        <w:r w:rsidRPr="004E48E8" w:rsidR="000F74F5">
          <w:rPr>
            <w:rStyle w:val="Hipervnculo"/>
            <w:rFonts w:ascii="Verdana" w:hAnsi="Verdana"/>
            <w:sz w:val="24"/>
            <w:szCs w:val="24"/>
          </w:rPr>
          <w:t>laura.reyes@unad.edu.co</w:t>
        </w:r>
      </w:hyperlink>
      <w:r w:rsidR="000F74F5">
        <w:rPr>
          <w:rFonts w:ascii="Verdana" w:hAnsi="Verdana"/>
          <w:sz w:val="24"/>
          <w:szCs w:val="24"/>
        </w:rPr>
        <w:t xml:space="preserve"> </w:t>
      </w:r>
    </w:p>
    <w:p w:rsidR="0067264E" w:rsidP="17BC07B1" w:rsidRDefault="0067264E" w14:paraId="4D6ED53C" w14:textId="77777777">
      <w:pPr>
        <w:spacing w:after="0" w:line="240" w:lineRule="auto"/>
        <w:jc w:val="both"/>
        <w:rPr>
          <w:rFonts w:ascii="Verdana" w:hAnsi="Verdana"/>
          <w:sz w:val="24"/>
          <w:szCs w:val="24"/>
        </w:rPr>
      </w:pPr>
    </w:p>
    <w:p w:rsidR="007A61C1" w:rsidP="17BC07B1" w:rsidRDefault="007A61C1" w14:paraId="07317714" w14:textId="3C357EB4">
      <w:pPr>
        <w:spacing w:after="0" w:line="240" w:lineRule="auto"/>
        <w:jc w:val="both"/>
        <w:rPr>
          <w:rFonts w:ascii="Verdana" w:hAnsi="Verdana"/>
          <w:sz w:val="24"/>
          <w:szCs w:val="24"/>
        </w:rPr>
      </w:pPr>
      <w:r w:rsidRPr="17BC07B1">
        <w:rPr>
          <w:rFonts w:ascii="Verdana" w:hAnsi="Verdana"/>
          <w:sz w:val="24"/>
          <w:szCs w:val="24"/>
        </w:rPr>
        <w:t xml:space="preserve">Autor </w:t>
      </w:r>
      <w:r w:rsidR="0067264E">
        <w:rPr>
          <w:rFonts w:ascii="Verdana" w:hAnsi="Verdana"/>
          <w:sz w:val="24"/>
          <w:szCs w:val="24"/>
        </w:rPr>
        <w:t>2</w:t>
      </w:r>
      <w:r w:rsidRPr="17BC07B1">
        <w:rPr>
          <w:rFonts w:ascii="Verdana" w:hAnsi="Verdana"/>
          <w:sz w:val="24"/>
          <w:szCs w:val="24"/>
        </w:rPr>
        <w:t xml:space="preserve"> – </w:t>
      </w:r>
      <w:r w:rsidRPr="17BC07B1" w:rsidR="2CE979F2">
        <w:rPr>
          <w:rFonts w:ascii="Verdana" w:hAnsi="Verdana"/>
          <w:sz w:val="24"/>
          <w:szCs w:val="24"/>
        </w:rPr>
        <w:t xml:space="preserve">Eduart Andrés </w:t>
      </w:r>
      <w:r w:rsidRPr="17BC07B1" w:rsidR="0BE14DB9">
        <w:rPr>
          <w:rFonts w:ascii="Verdana" w:hAnsi="Verdana"/>
          <w:sz w:val="24"/>
          <w:szCs w:val="24"/>
        </w:rPr>
        <w:t>Gutiérrez</w:t>
      </w:r>
      <w:r w:rsidRPr="17BC07B1" w:rsidR="2CE979F2">
        <w:rPr>
          <w:rFonts w:ascii="Verdana" w:hAnsi="Verdana"/>
          <w:sz w:val="24"/>
          <w:szCs w:val="24"/>
        </w:rPr>
        <w:t xml:space="preserve"> Pineda</w:t>
      </w:r>
    </w:p>
    <w:p w:rsidR="5B9C7857" w:rsidP="17BC07B1" w:rsidRDefault="5B9C7857" w14:paraId="5A90CB41" w14:textId="3BC2F28B">
      <w:pPr>
        <w:spacing w:after="0" w:line="240" w:lineRule="auto"/>
        <w:jc w:val="both"/>
      </w:pPr>
      <w:r w:rsidRPr="17BC07B1">
        <w:rPr>
          <w:rFonts w:ascii="Verdana" w:hAnsi="Verdana"/>
          <w:sz w:val="24"/>
          <w:szCs w:val="24"/>
        </w:rPr>
        <w:t>Químico, Doctor en Ingeniería. Laboratorio de Investigación y Desarrollo Agroalimentario – LIDA, Universidad Nacional Abierta y a Distancia – UNAD.</w:t>
      </w:r>
    </w:p>
    <w:p w:rsidRPr="000C39B8" w:rsidR="007A61C1" w:rsidP="17BC07B1" w:rsidRDefault="007A61C1" w14:paraId="37060EB0" w14:textId="3374EE24">
      <w:pPr>
        <w:spacing w:after="0" w:line="240" w:lineRule="auto"/>
        <w:jc w:val="both"/>
        <w:rPr>
          <w:rFonts w:ascii="Verdana" w:hAnsi="Verdana"/>
          <w:sz w:val="24"/>
          <w:szCs w:val="24"/>
          <w:lang w:val="en-US"/>
        </w:rPr>
      </w:pPr>
      <w:r w:rsidRPr="000C39B8">
        <w:rPr>
          <w:rFonts w:ascii="Verdana" w:hAnsi="Verdana"/>
          <w:sz w:val="24"/>
          <w:szCs w:val="24"/>
          <w:lang w:val="en-US"/>
        </w:rPr>
        <w:t>ORCID</w:t>
      </w:r>
      <w:r w:rsidRPr="000C39B8" w:rsidR="4243CA53">
        <w:rPr>
          <w:rFonts w:ascii="Verdana" w:hAnsi="Verdana"/>
          <w:sz w:val="24"/>
          <w:szCs w:val="24"/>
          <w:lang w:val="en-US"/>
        </w:rPr>
        <w:t xml:space="preserve"> </w:t>
      </w:r>
      <w:hyperlink w:history="1" r:id="rId9">
        <w:r w:rsidRPr="000C39B8" w:rsidR="000F74F5">
          <w:rPr>
            <w:rStyle w:val="Hipervnculo"/>
            <w:rFonts w:ascii="Verdana" w:hAnsi="Verdana"/>
            <w:sz w:val="24"/>
            <w:szCs w:val="24"/>
            <w:lang w:val="en-US"/>
          </w:rPr>
          <w:t>https://orcid.org/0000-0002-8651-9828</w:t>
        </w:r>
      </w:hyperlink>
      <w:r w:rsidRPr="000C39B8" w:rsidR="000F74F5">
        <w:rPr>
          <w:rFonts w:ascii="Verdana" w:hAnsi="Verdana"/>
          <w:sz w:val="24"/>
          <w:szCs w:val="24"/>
          <w:lang w:val="en-US"/>
        </w:rPr>
        <w:t xml:space="preserve"> </w:t>
      </w:r>
    </w:p>
    <w:p w:rsidR="007A61C1" w:rsidP="17BC07B1" w:rsidRDefault="007A61C1" w14:paraId="7E6E5458" w14:textId="2D7D7EF5">
      <w:pPr>
        <w:spacing w:after="0" w:line="240" w:lineRule="auto"/>
        <w:jc w:val="both"/>
        <w:rPr>
          <w:rFonts w:ascii="Verdana" w:hAnsi="Verdana"/>
          <w:sz w:val="24"/>
          <w:szCs w:val="24"/>
        </w:rPr>
      </w:pPr>
      <w:r w:rsidRPr="000C39B8">
        <w:rPr>
          <w:rFonts w:ascii="Verdana" w:hAnsi="Verdana"/>
          <w:sz w:val="24"/>
          <w:szCs w:val="24"/>
          <w:lang w:val="en-US"/>
        </w:rPr>
        <w:t xml:space="preserve">email. </w:t>
      </w:r>
      <w:hyperlink w:history="1" r:id="rId10">
        <w:r w:rsidRPr="004E48E8" w:rsidR="000F74F5">
          <w:rPr>
            <w:rStyle w:val="Hipervnculo"/>
            <w:rFonts w:ascii="Verdana" w:hAnsi="Verdana"/>
            <w:sz w:val="24"/>
            <w:szCs w:val="24"/>
          </w:rPr>
          <w:t>eduart.gutierrez@unad.edu.co</w:t>
        </w:r>
      </w:hyperlink>
      <w:r w:rsidR="000F74F5">
        <w:rPr>
          <w:rFonts w:ascii="Verdana" w:hAnsi="Verdana"/>
          <w:sz w:val="24"/>
          <w:szCs w:val="24"/>
        </w:rPr>
        <w:t xml:space="preserve"> </w:t>
      </w:r>
    </w:p>
    <w:p w:rsidR="007A61C1" w:rsidP="007A61C1" w:rsidRDefault="007A61C1" w14:paraId="06602379" w14:textId="77777777">
      <w:pPr>
        <w:rPr>
          <w:rFonts w:ascii="Verdana" w:hAnsi="Verdana"/>
          <w:sz w:val="24"/>
          <w:szCs w:val="24"/>
        </w:rPr>
      </w:pPr>
    </w:p>
    <w:p w:rsidRPr="007A61C1" w:rsidR="007A61C1" w:rsidP="007A61C1" w:rsidRDefault="007A61C1" w14:paraId="313D9906" w14:textId="77777777">
      <w:pPr>
        <w:rPr>
          <w:rFonts w:ascii="Verdana" w:hAnsi="Verdana"/>
          <w:b/>
          <w:sz w:val="24"/>
          <w:szCs w:val="24"/>
        </w:rPr>
      </w:pPr>
      <w:r w:rsidRPr="45279A06">
        <w:rPr>
          <w:rFonts w:ascii="Verdana" w:hAnsi="Verdana"/>
          <w:b/>
          <w:bCs/>
          <w:sz w:val="24"/>
          <w:szCs w:val="24"/>
        </w:rPr>
        <w:t>RESUMEN.</w:t>
      </w:r>
    </w:p>
    <w:p w:rsidRPr="00847033" w:rsidR="00847033" w:rsidP="00847033" w:rsidRDefault="00847033" w14:paraId="378C0A94" w14:textId="77777777">
      <w:pPr>
        <w:jc w:val="both"/>
        <w:rPr>
          <w:rFonts w:ascii="Verdana" w:hAnsi="Verdana"/>
          <w:sz w:val="24"/>
          <w:szCs w:val="24"/>
        </w:rPr>
      </w:pPr>
      <w:r w:rsidRPr="00847033">
        <w:rPr>
          <w:rFonts w:ascii="Verdana" w:hAnsi="Verdana"/>
          <w:sz w:val="24"/>
          <w:szCs w:val="24"/>
        </w:rPr>
        <w:t>El aprovechamiento de residuos agroindustriales representa una estrategia clave no solo para reducir el impacto ambiental que generan, sino también para obtener biomateriales y compuestos bioactivos de interés en las industrias alimentaria, farmacéutica y nutracéutica. En este estudio se evaluó la viabilidad del pericarpio de mangostino (</w:t>
      </w:r>
      <w:proofErr w:type="spellStart"/>
      <w:r w:rsidRPr="00847033">
        <w:rPr>
          <w:rFonts w:ascii="Verdana" w:hAnsi="Verdana"/>
          <w:i/>
          <w:iCs/>
          <w:sz w:val="24"/>
          <w:szCs w:val="24"/>
        </w:rPr>
        <w:t>Garcinia</w:t>
      </w:r>
      <w:proofErr w:type="spellEnd"/>
      <w:r w:rsidRPr="00847033">
        <w:rPr>
          <w:rFonts w:ascii="Verdana" w:hAnsi="Verdana"/>
          <w:i/>
          <w:iCs/>
          <w:sz w:val="24"/>
          <w:szCs w:val="24"/>
        </w:rPr>
        <w:t xml:space="preserve"> </w:t>
      </w:r>
      <w:proofErr w:type="spellStart"/>
      <w:r w:rsidRPr="00847033">
        <w:rPr>
          <w:rFonts w:ascii="Verdana" w:hAnsi="Verdana"/>
          <w:i/>
          <w:iCs/>
          <w:sz w:val="24"/>
          <w:szCs w:val="24"/>
        </w:rPr>
        <w:t>mangostana</w:t>
      </w:r>
      <w:proofErr w:type="spellEnd"/>
      <w:r w:rsidRPr="00847033">
        <w:rPr>
          <w:rFonts w:ascii="Verdana" w:hAnsi="Verdana"/>
          <w:sz w:val="24"/>
          <w:szCs w:val="24"/>
        </w:rPr>
        <w:t xml:space="preserve">) como fuente de compuestos fenólicos, empleando un sistema de extracción asistida por ultrasonido (EAU). Se utilizaron dos solventes (etanol y etanol/ácido cítrico, pH 2,0; 3,5 y 4,0), dos frecuencias de ultrasonido (20 y 40 kHz), un tiempo de 30 minutos y una relación </w:t>
      </w:r>
      <w:proofErr w:type="spellStart"/>
      <w:r w:rsidRPr="00847033">
        <w:rPr>
          <w:rFonts w:ascii="Verdana" w:hAnsi="Verdana"/>
          <w:sz w:val="24"/>
          <w:szCs w:val="24"/>
        </w:rPr>
        <w:t>sólido:solvente</w:t>
      </w:r>
      <w:proofErr w:type="spellEnd"/>
      <w:r w:rsidRPr="00847033">
        <w:rPr>
          <w:rFonts w:ascii="Verdana" w:hAnsi="Verdana"/>
          <w:sz w:val="24"/>
          <w:szCs w:val="24"/>
        </w:rPr>
        <w:t xml:space="preserve"> de 1:10. El mayor contenido de fenoles totales (63,72 ± 3,43 mg ácido gálico/g de pericarpio seco) se obtuvo con etanol/ácido cítrico pH 3,5 a 20 kHz.</w:t>
      </w:r>
    </w:p>
    <w:p w:rsidRPr="00847033" w:rsidR="00847033" w:rsidP="00847033" w:rsidRDefault="00847033" w14:paraId="127E99DF" w14:textId="6AD1C301">
      <w:pPr>
        <w:jc w:val="both"/>
        <w:rPr>
          <w:rFonts w:ascii="Verdana" w:hAnsi="Verdana"/>
          <w:sz w:val="24"/>
          <w:szCs w:val="24"/>
        </w:rPr>
      </w:pPr>
      <w:r w:rsidRPr="00847033">
        <w:rPr>
          <w:rFonts w:ascii="Verdana" w:hAnsi="Verdana"/>
          <w:sz w:val="24"/>
          <w:szCs w:val="24"/>
        </w:rPr>
        <w:t>La caracterización de los extractos</w:t>
      </w:r>
      <w:r w:rsidR="00465547">
        <w:rPr>
          <w:rFonts w:ascii="Verdana" w:hAnsi="Verdana"/>
          <w:sz w:val="24"/>
          <w:szCs w:val="24"/>
        </w:rPr>
        <w:t xml:space="preserve"> (inicialmente el extracto </w:t>
      </w:r>
      <w:r w:rsidRPr="00847033" w:rsidR="00465547">
        <w:rPr>
          <w:rFonts w:ascii="Verdana" w:hAnsi="Verdana"/>
          <w:sz w:val="24"/>
          <w:szCs w:val="24"/>
        </w:rPr>
        <w:t>etanol/ácido cítrico pH 3,5 a 20 kHz</w:t>
      </w:r>
      <w:r w:rsidR="00465547">
        <w:rPr>
          <w:rFonts w:ascii="Verdana" w:hAnsi="Verdana"/>
          <w:sz w:val="24"/>
          <w:szCs w:val="24"/>
        </w:rPr>
        <w:t>)</w:t>
      </w:r>
      <w:r w:rsidRPr="00847033">
        <w:rPr>
          <w:rFonts w:ascii="Verdana" w:hAnsi="Verdana"/>
          <w:sz w:val="24"/>
          <w:szCs w:val="24"/>
        </w:rPr>
        <w:t xml:space="preserve"> se realizó mediante cromatografía líquida de ultra alta eficiencia acoplada a espectrometría de masas (UPLC-MS) y UHPLC-UV/Vis para la identificación de antocianinas y otros polifenoles. El análisis permitió identifica</w:t>
      </w:r>
      <w:r w:rsidRPr="00312452" w:rsidR="00312452">
        <w:rPr>
          <w:rFonts w:ascii="Verdana" w:hAnsi="Verdana"/>
          <w:sz w:val="24"/>
          <w:szCs w:val="24"/>
        </w:rPr>
        <w:t>r</w:t>
      </w:r>
      <w:r w:rsidRPr="00847033">
        <w:rPr>
          <w:rFonts w:ascii="Verdana" w:hAnsi="Verdana"/>
          <w:sz w:val="24"/>
          <w:szCs w:val="24"/>
        </w:rPr>
        <w:t xml:space="preserve"> compuestos fenólicos, principalmente antocianinas y </w:t>
      </w:r>
      <w:r w:rsidRPr="00847033">
        <w:rPr>
          <w:rFonts w:ascii="Verdana" w:hAnsi="Verdana"/>
          <w:sz w:val="24"/>
          <w:szCs w:val="24"/>
        </w:rPr>
        <w:lastRenderedPageBreak/>
        <w:t>flavonoles. Actualmente, se continúa con la cuantificación comparativa de los diferentes extractos para evaluar la variación cualitativa y cuantitativa del contenido fenólico en función de las condiciones de extracción. Los resultados obtenidos confirman el potencial del pericarpio de mangostino como una fuente prometedora de compuestos fenólicos con aplicaciones como nutracéuticos y colorantes naturales en la industria alimentaria.</w:t>
      </w:r>
    </w:p>
    <w:p w:rsidRPr="007A61C1" w:rsidR="007A61C1" w:rsidP="007A61C1" w:rsidRDefault="007A61C1" w14:paraId="3FDC40A8" w14:textId="77777777">
      <w:pPr>
        <w:rPr>
          <w:rFonts w:ascii="Verdana" w:hAnsi="Verdana"/>
          <w:sz w:val="24"/>
          <w:szCs w:val="24"/>
        </w:rPr>
      </w:pPr>
    </w:p>
    <w:p w:rsidRPr="00800C23" w:rsidR="007A61C1" w:rsidP="007A61C1" w:rsidRDefault="007A61C1" w14:paraId="7FA953D4" w14:textId="77777777">
      <w:pPr>
        <w:rPr>
          <w:rFonts w:ascii="Verdana" w:hAnsi="Verdana"/>
          <w:b/>
          <w:sz w:val="24"/>
          <w:szCs w:val="24"/>
        </w:rPr>
      </w:pPr>
      <w:r w:rsidRPr="00800C23">
        <w:rPr>
          <w:rFonts w:ascii="Verdana" w:hAnsi="Verdana"/>
          <w:b/>
          <w:sz w:val="24"/>
          <w:szCs w:val="24"/>
        </w:rPr>
        <w:t>Palabras Clave.</w:t>
      </w:r>
    </w:p>
    <w:p w:rsidRPr="007A61C1" w:rsidR="007A61C1" w:rsidP="45279A06" w:rsidRDefault="00697078" w14:paraId="1E01F450" w14:textId="559DB130">
      <w:pPr>
        <w:jc w:val="both"/>
        <w:rPr>
          <w:rFonts w:ascii="Verdana" w:hAnsi="Verdana"/>
          <w:sz w:val="24"/>
          <w:szCs w:val="24"/>
        </w:rPr>
      </w:pPr>
      <w:r>
        <w:rPr>
          <w:rFonts w:ascii="Verdana" w:hAnsi="Verdana"/>
          <w:sz w:val="24"/>
          <w:szCs w:val="24"/>
        </w:rPr>
        <w:t xml:space="preserve">Actividad biológica, </w:t>
      </w:r>
      <w:r w:rsidRPr="45279A06" w:rsidR="442CFFB5">
        <w:rPr>
          <w:rFonts w:ascii="Verdana" w:hAnsi="Verdana"/>
          <w:sz w:val="24"/>
          <w:szCs w:val="24"/>
        </w:rPr>
        <w:t>Aprovechamientos de subproductos, biorrefinería, compuestos activos, economía circular</w:t>
      </w:r>
      <w:r w:rsidRPr="45279A06" w:rsidR="007A61C1">
        <w:rPr>
          <w:rFonts w:ascii="Verdana" w:hAnsi="Verdana"/>
          <w:sz w:val="24"/>
          <w:szCs w:val="24"/>
        </w:rPr>
        <w:t xml:space="preserve"> </w:t>
      </w:r>
    </w:p>
    <w:p w:rsidRPr="007A61C1" w:rsidR="007A61C1" w:rsidP="007A61C1" w:rsidRDefault="007A61C1" w14:paraId="4C06641F" w14:textId="77777777">
      <w:pPr>
        <w:rPr>
          <w:rFonts w:ascii="Verdana" w:hAnsi="Verdana"/>
          <w:sz w:val="24"/>
          <w:szCs w:val="24"/>
        </w:rPr>
      </w:pPr>
    </w:p>
    <w:p w:rsidRPr="00800C23" w:rsidR="007A61C1" w:rsidP="007A61C1" w:rsidRDefault="007A61C1" w14:paraId="2C3BE8E8" w14:textId="77777777">
      <w:pPr>
        <w:rPr>
          <w:rFonts w:ascii="Verdana" w:hAnsi="Verdana"/>
          <w:b/>
          <w:sz w:val="24"/>
          <w:szCs w:val="24"/>
          <w:lang w:val="en-US"/>
        </w:rPr>
      </w:pPr>
      <w:r w:rsidRPr="000F74F5">
        <w:rPr>
          <w:rFonts w:ascii="Verdana" w:hAnsi="Verdana"/>
          <w:b/>
          <w:sz w:val="24"/>
          <w:szCs w:val="24"/>
          <w:lang w:val="en-US"/>
        </w:rPr>
        <w:t>ABSTRACT.</w:t>
      </w:r>
    </w:p>
    <w:p w:rsidRPr="00A15F9E" w:rsidR="00A15F9E" w:rsidP="00A15F9E" w:rsidRDefault="00A15F9E" w14:paraId="0B9AF5E5" w14:textId="77777777">
      <w:pPr>
        <w:jc w:val="both"/>
        <w:rPr>
          <w:rFonts w:ascii="Verdana" w:hAnsi="Verdana" w:eastAsia="Times New Roman" w:cs="Courier New"/>
          <w:color w:val="212121"/>
          <w:sz w:val="24"/>
          <w:szCs w:val="24"/>
          <w:lang w:val="en-US" w:eastAsia="es-CO"/>
        </w:rPr>
      </w:pPr>
      <w:r w:rsidRPr="00A15F9E">
        <w:rPr>
          <w:rFonts w:ascii="Verdana" w:hAnsi="Verdana" w:eastAsia="Times New Roman" w:cs="Courier New"/>
          <w:color w:val="212121"/>
          <w:sz w:val="24"/>
          <w:szCs w:val="24"/>
          <w:lang w:val="en-US" w:eastAsia="es-CO"/>
        </w:rPr>
        <w:t>The valorization of agro-industrial residues is a key strategy not only to mitigate their environmental impact but also to obtain biomaterials and bioactive compounds of interest for the food, pharmaceutical, and nutraceutical industries. In this study, the feasibility of mangosteen (</w:t>
      </w:r>
      <w:r w:rsidRPr="00A15F9E">
        <w:rPr>
          <w:rFonts w:ascii="Verdana" w:hAnsi="Verdana" w:eastAsia="Times New Roman" w:cs="Courier New"/>
          <w:i/>
          <w:iCs/>
          <w:color w:val="212121"/>
          <w:sz w:val="24"/>
          <w:szCs w:val="24"/>
          <w:lang w:val="en-US" w:eastAsia="es-CO"/>
        </w:rPr>
        <w:t xml:space="preserve">Garcinia </w:t>
      </w:r>
      <w:proofErr w:type="spellStart"/>
      <w:r w:rsidRPr="00A15F9E">
        <w:rPr>
          <w:rFonts w:ascii="Verdana" w:hAnsi="Verdana" w:eastAsia="Times New Roman" w:cs="Courier New"/>
          <w:i/>
          <w:iCs/>
          <w:color w:val="212121"/>
          <w:sz w:val="24"/>
          <w:szCs w:val="24"/>
          <w:lang w:val="en-US" w:eastAsia="es-CO"/>
        </w:rPr>
        <w:t>mangostana</w:t>
      </w:r>
      <w:proofErr w:type="spellEnd"/>
      <w:r w:rsidRPr="00A15F9E">
        <w:rPr>
          <w:rFonts w:ascii="Verdana" w:hAnsi="Verdana" w:eastAsia="Times New Roman" w:cs="Courier New"/>
          <w:color w:val="212121"/>
          <w:sz w:val="24"/>
          <w:szCs w:val="24"/>
          <w:lang w:val="en-US" w:eastAsia="es-CO"/>
        </w:rPr>
        <w:t>) pericarp as a source of phenolic compounds was evaluated using ultrasound-assisted extraction (UAE). Two solvents (ethanol and ethanol/citric acid at pH 2.0, 3.5, and 4.0), two ultrasound frequencies (20 and 40 kHz), an extraction time of 30 minutes, and a solid-to-solvent ratio of 1:10 were tested. The highest total phenolic content (63.72 ± 3.43 mg gallic acid equivalents/g dry pericarp) was obtained with ethanol/citric acid at pH 3.5 and 20 kHz.</w:t>
      </w:r>
    </w:p>
    <w:p w:rsidRPr="00A15F9E" w:rsidR="00A15F9E" w:rsidP="00A15F9E" w:rsidRDefault="00A15F9E" w14:paraId="52D8097D" w14:textId="52598827">
      <w:pPr>
        <w:jc w:val="both"/>
        <w:rPr>
          <w:rFonts w:ascii="Verdana" w:hAnsi="Verdana" w:eastAsia="Times New Roman" w:cs="Courier New"/>
          <w:color w:val="212121"/>
          <w:sz w:val="24"/>
          <w:szCs w:val="24"/>
          <w:lang w:val="en-US" w:eastAsia="es-CO"/>
        </w:rPr>
      </w:pPr>
      <w:r w:rsidRPr="00A15F9E">
        <w:rPr>
          <w:rFonts w:ascii="Verdana" w:hAnsi="Verdana" w:eastAsia="Times New Roman" w:cs="Courier New"/>
          <w:color w:val="212121"/>
          <w:sz w:val="24"/>
          <w:szCs w:val="24"/>
          <w:lang w:val="en-US" w:eastAsia="es-CO"/>
        </w:rPr>
        <w:t xml:space="preserve">Extract characterization </w:t>
      </w:r>
      <w:r w:rsidRPr="00A15F9E">
        <w:rPr>
          <w:rFonts w:ascii="Verdana" w:hAnsi="Verdana" w:eastAsia="Times New Roman" w:cs="Courier New"/>
          <w:color w:val="212121"/>
          <w:sz w:val="24"/>
          <w:szCs w:val="24"/>
          <w:lang w:val="en-US" w:eastAsia="es-CO"/>
        </w:rPr>
        <w:t>(</w:t>
      </w:r>
      <w:r w:rsidRPr="00A15F9E">
        <w:rPr>
          <w:rFonts w:ascii="Verdana" w:hAnsi="Verdana" w:eastAsia="Times New Roman" w:cs="Courier New"/>
          <w:color w:val="212121"/>
          <w:sz w:val="24"/>
          <w:szCs w:val="24"/>
          <w:lang w:val="en-US" w:eastAsia="es-CO"/>
        </w:rPr>
        <w:t>initially performed on the ethanol/citric acid extract at pH 3.5 and 20 kHz</w:t>
      </w:r>
      <w:r w:rsidR="006D53B7">
        <w:rPr>
          <w:rFonts w:ascii="Verdana" w:hAnsi="Verdana" w:eastAsia="Times New Roman" w:cs="Courier New"/>
          <w:color w:val="212121"/>
          <w:sz w:val="24"/>
          <w:szCs w:val="24"/>
          <w:lang w:val="en-US" w:eastAsia="es-CO"/>
        </w:rPr>
        <w:t>)</w:t>
      </w:r>
      <w:r w:rsidRPr="00A15F9E">
        <w:rPr>
          <w:rFonts w:ascii="Verdana" w:hAnsi="Verdana" w:eastAsia="Times New Roman" w:cs="Courier New"/>
          <w:color w:val="212121"/>
          <w:sz w:val="24"/>
          <w:szCs w:val="24"/>
          <w:lang w:val="en-US" w:eastAsia="es-CO"/>
        </w:rPr>
        <w:t xml:space="preserve"> was carried out using ultra-performance liquid chromatography coupled to mass spectrometry (UPLC-MS) and UHPLC-UV/Vis for the identification of anthocyanins and other polyphenols. The analysis revealed the presence of phenolic compounds, mainly anthocyanins and </w:t>
      </w:r>
      <w:proofErr w:type="spellStart"/>
      <w:r w:rsidRPr="00A15F9E">
        <w:rPr>
          <w:rFonts w:ascii="Verdana" w:hAnsi="Verdana" w:eastAsia="Times New Roman" w:cs="Courier New"/>
          <w:color w:val="212121"/>
          <w:sz w:val="24"/>
          <w:szCs w:val="24"/>
          <w:lang w:val="en-US" w:eastAsia="es-CO"/>
        </w:rPr>
        <w:t>flavonols</w:t>
      </w:r>
      <w:proofErr w:type="spellEnd"/>
      <w:r w:rsidRPr="00A15F9E">
        <w:rPr>
          <w:rFonts w:ascii="Verdana" w:hAnsi="Verdana" w:eastAsia="Times New Roman" w:cs="Courier New"/>
          <w:color w:val="212121"/>
          <w:sz w:val="24"/>
          <w:szCs w:val="24"/>
          <w:lang w:val="en-US" w:eastAsia="es-CO"/>
        </w:rPr>
        <w:t>. Comparative quantification of the different extracts is currently underway to assess qualitative and quantitative variations in phenolic content as a function of extraction conditions. The results confirm the potential of mangosteen pericarp as a promising source of phenolic compounds with applications as nutraceuticals and natural colorants in the food industry.</w:t>
      </w:r>
    </w:p>
    <w:p w:rsidRPr="00AE5D6C" w:rsidR="00800C23" w:rsidP="007A61C1" w:rsidRDefault="00800C23" w14:paraId="1817DC79" w14:textId="77777777">
      <w:pPr>
        <w:rPr>
          <w:lang w:val="en-US"/>
        </w:rPr>
      </w:pPr>
    </w:p>
    <w:p w:rsidR="007A61C1" w:rsidP="007A61C1" w:rsidRDefault="00800C23" w14:paraId="6671D61C" w14:textId="77777777">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rsidR="00800C23" w:rsidP="007A61C1" w:rsidRDefault="00D27FDC" w14:paraId="21AF89DA" w14:textId="77DF7B80">
      <w:pPr>
        <w:rPr>
          <w:rFonts w:ascii="Verdana" w:hAnsi="Verdana" w:eastAsia="Times New Roman" w:cs="Courier New"/>
          <w:color w:val="212121"/>
          <w:sz w:val="24"/>
          <w:szCs w:val="24"/>
          <w:lang w:val="en-US" w:eastAsia="es-CO"/>
        </w:rPr>
      </w:pPr>
      <w:r w:rsidRPr="5AD71B4F">
        <w:rPr>
          <w:rFonts w:ascii="Verdana" w:hAnsi="Verdana" w:eastAsia="Times New Roman" w:cs="Courier New"/>
          <w:color w:val="212121"/>
          <w:sz w:val="24"/>
          <w:szCs w:val="24"/>
          <w:lang w:val="en-US" w:eastAsia="es-CO"/>
        </w:rPr>
        <w:lastRenderedPageBreak/>
        <w:t>Biological activity, By-product utilization, biorefinery, active compounds, circular economy</w:t>
      </w:r>
    </w:p>
    <w:p w:rsidRPr="00800C23" w:rsidR="00D27FDC" w:rsidP="007A61C1" w:rsidRDefault="00D27FDC" w14:paraId="1C3E5C5E" w14:textId="77777777">
      <w:pPr>
        <w:rPr>
          <w:rFonts w:ascii="Verdana" w:hAnsi="Verdana"/>
          <w:b/>
          <w:sz w:val="24"/>
          <w:szCs w:val="24"/>
          <w:lang w:val="en-US"/>
        </w:rPr>
      </w:pPr>
    </w:p>
    <w:p w:rsidRPr="003B4637" w:rsidR="00E71CFF" w:rsidP="007A61C1" w:rsidRDefault="00E71CFF" w14:paraId="664832BB" w14:textId="77777777">
      <w:pPr>
        <w:rPr>
          <w:rFonts w:ascii="Verdana" w:hAnsi="Verdana"/>
          <w:b/>
          <w:sz w:val="24"/>
          <w:szCs w:val="24"/>
        </w:rPr>
      </w:pPr>
      <w:r w:rsidRPr="003B4637">
        <w:rPr>
          <w:rFonts w:ascii="Verdana" w:hAnsi="Verdana"/>
          <w:b/>
          <w:sz w:val="24"/>
          <w:szCs w:val="24"/>
        </w:rPr>
        <w:t xml:space="preserve">INTRODUCCIÓN. </w:t>
      </w:r>
    </w:p>
    <w:p w:rsidRPr="00DE3903" w:rsidR="00DE3903" w:rsidP="00DE3903" w:rsidRDefault="00DE3903" w14:paraId="5B9B70A6" w14:textId="43610D9C">
      <w:pPr>
        <w:jc w:val="both"/>
        <w:rPr>
          <w:rFonts w:ascii="Verdana" w:hAnsi="Verdana"/>
          <w:sz w:val="24"/>
          <w:szCs w:val="24"/>
        </w:rPr>
      </w:pPr>
      <w:r w:rsidRPr="3CEB8552">
        <w:rPr>
          <w:rFonts w:ascii="Verdana" w:hAnsi="Verdana"/>
          <w:sz w:val="24"/>
          <w:szCs w:val="24"/>
        </w:rPr>
        <w:t xml:space="preserve">El aprovechamiento de residuos </w:t>
      </w:r>
      <w:r w:rsidRPr="3CEB8552" w:rsidR="26124104">
        <w:rPr>
          <w:rFonts w:ascii="Verdana" w:hAnsi="Verdana"/>
          <w:sz w:val="24"/>
          <w:szCs w:val="24"/>
        </w:rPr>
        <w:t>agroalimentarios</w:t>
      </w:r>
      <w:r w:rsidRPr="3CEB8552">
        <w:rPr>
          <w:rFonts w:ascii="Verdana" w:hAnsi="Verdana"/>
          <w:sz w:val="24"/>
          <w:szCs w:val="24"/>
        </w:rPr>
        <w:t xml:space="preserve"> se ha convertido en </w:t>
      </w:r>
      <w:r w:rsidRPr="3CEB8552" w:rsidR="0640DA96">
        <w:rPr>
          <w:rFonts w:ascii="Verdana" w:hAnsi="Verdana"/>
          <w:sz w:val="24"/>
          <w:szCs w:val="24"/>
        </w:rPr>
        <w:t>una alternativa</w:t>
      </w:r>
      <w:r w:rsidRPr="3CEB8552">
        <w:rPr>
          <w:rFonts w:ascii="Verdana" w:hAnsi="Verdana"/>
          <w:sz w:val="24"/>
          <w:szCs w:val="24"/>
        </w:rPr>
        <w:t xml:space="preserve"> para la obtención de compuestos bioactivos como extractos vegetales, antocianinas, aceites esenciales, entre otro</w:t>
      </w:r>
      <w:r w:rsidRPr="3CEB8552" w:rsidR="001E1488">
        <w:rPr>
          <w:rFonts w:ascii="Verdana" w:hAnsi="Verdana"/>
          <w:sz w:val="24"/>
          <w:szCs w:val="24"/>
        </w:rPr>
        <w:t>s</w:t>
      </w:r>
      <w:r w:rsidRPr="3CEB8552">
        <w:rPr>
          <w:rFonts w:ascii="Verdana" w:hAnsi="Verdana"/>
          <w:sz w:val="24"/>
          <w:szCs w:val="24"/>
        </w:rPr>
        <w:t xml:space="preserve">, así como de biomateriales, los cuales han sido explorados para su uso en la industria de alimentos y farmacéutica principalmente. Adicionalmente, la tendencia de los mercados actuales se centra en el suministro de productos naturales con actividad biológica y nutricional, visualizando diferentes formas de consumo y producción. </w:t>
      </w:r>
    </w:p>
    <w:p w:rsidR="00DE3903" w:rsidP="00DE3903" w:rsidRDefault="00DE3903" w14:paraId="74C43BEB" w14:textId="7124EF57">
      <w:pPr>
        <w:jc w:val="both"/>
        <w:rPr>
          <w:rFonts w:ascii="Verdana" w:hAnsi="Verdana"/>
          <w:sz w:val="24"/>
          <w:szCs w:val="24"/>
        </w:rPr>
      </w:pPr>
      <w:r w:rsidRPr="3CEB8552">
        <w:rPr>
          <w:rFonts w:ascii="Verdana" w:hAnsi="Verdana"/>
          <w:sz w:val="24"/>
          <w:szCs w:val="24"/>
        </w:rPr>
        <w:t xml:space="preserve">Los compuestos fenólicos se encuentran generalmente en verduras y frutas o en residuos de procesamiento. Típicamente, los fenólicos están presentes tanto en las partes comestibles como en las no comestibles de las plantas. Por lo tanto, estos residuos con potencial </w:t>
      </w:r>
      <w:r w:rsidRPr="3CEB8552" w:rsidR="2EB7FF0D">
        <w:rPr>
          <w:rFonts w:ascii="Verdana" w:hAnsi="Verdana"/>
          <w:sz w:val="24"/>
          <w:szCs w:val="24"/>
        </w:rPr>
        <w:t>bioactivo pueden</w:t>
      </w:r>
      <w:r w:rsidRPr="3CEB8552">
        <w:rPr>
          <w:rFonts w:ascii="Verdana" w:hAnsi="Verdana"/>
          <w:sz w:val="24"/>
          <w:szCs w:val="24"/>
        </w:rPr>
        <w:t xml:space="preserve"> utilizarse sin duda para la valorización de residuos </w:t>
      </w:r>
      <w:r w:rsidRPr="3CEB8552">
        <w:rPr>
          <w:rFonts w:ascii="Verdana" w:hAnsi="Verdana"/>
          <w:sz w:val="24"/>
          <w:szCs w:val="24"/>
        </w:rPr>
        <w:fldChar w:fldCharType="begin" w:fldLock="1"/>
      </w:r>
      <w:r w:rsidR="00E514BB">
        <w:rPr>
          <w:rFonts w:ascii="Verdana" w:hAnsi="Verdana"/>
          <w:sz w:val="24"/>
          <w:szCs w:val="24"/>
        </w:rPr>
        <w:instrText>ADDIN CSL_CITATION {"citationItems":[{"id":"ITEM-1","itemData":{"DOI":"10.1016/j.envres.2023.115237","ISSN":"00139351","author":[{"dropping-particle":"","family":"Bansod","given":"Shama P.","non-dropping-particle":"","parse-names":false,"suffix":""},{"dropping-particle":"","family":"Parikh","given":"Jigisha K.","non-dropping-particle":"","parse-names":false,"suffix":""},{"dropping-particle":"","family":"Sarangi","given":"Prakash Kumar","non-dropping-particle":"","parse-names":false,"suffix":""}],"container-title":"Environmental Research","id":"ITEM-1","issued":{"date-parts":[["2023","3"]]},"page":"115237","title":"Pineapple peel waste valorization for extraction of bio-active compounds and protein: Microwave assisted method and Box Behnken design optimization","type":"article-journal","volume":"221"},"uris":["http://www.mendeley.com/documents/?uuid=1494bddc-841b-4274-8e74-ef8d069b7c94","http://www.mendeley.com/documents/?uuid=529d9836-a937-448a-ac64-2300a3cf3a8e"]}],"mendeley":{"formattedCitation":"(Bansod, Parikh, &amp; Sarangi, 2023)","plainTextFormattedCitation":"(Bansod, Parikh, &amp; Sarangi, 2023)","previouslyFormattedCitation":"(Bansod, Parikh, &amp; Sarangi, 2023)"},"properties":{"noteIndex":0},"schema":"https://github.com/citation-style-language/schema/raw/master/csl-citation.json"}</w:instrText>
      </w:r>
      <w:r w:rsidRPr="3CEB8552">
        <w:rPr>
          <w:rFonts w:ascii="Verdana" w:hAnsi="Verdana"/>
          <w:sz w:val="24"/>
          <w:szCs w:val="24"/>
        </w:rPr>
        <w:fldChar w:fldCharType="separate"/>
      </w:r>
      <w:r w:rsidRPr="000C39B8" w:rsidR="000C39B8">
        <w:rPr>
          <w:rFonts w:ascii="Verdana" w:hAnsi="Verdana"/>
          <w:noProof/>
          <w:sz w:val="24"/>
          <w:szCs w:val="24"/>
        </w:rPr>
        <w:t>(Bansod, Parikh, &amp; Sarangi, 2023)</w:t>
      </w:r>
      <w:r w:rsidRPr="3CEB8552">
        <w:rPr>
          <w:rFonts w:ascii="Verdana" w:hAnsi="Verdana"/>
          <w:sz w:val="24"/>
          <w:szCs w:val="24"/>
        </w:rPr>
        <w:fldChar w:fldCharType="end"/>
      </w:r>
      <w:r w:rsidRPr="3CEB8552">
        <w:rPr>
          <w:rFonts w:ascii="Verdana" w:hAnsi="Verdana"/>
          <w:sz w:val="24"/>
          <w:szCs w:val="24"/>
        </w:rPr>
        <w:t>.</w:t>
      </w:r>
      <w:r w:rsidRPr="3CEB8552" w:rsidR="003C7869">
        <w:rPr>
          <w:rFonts w:ascii="Verdana" w:hAnsi="Verdana"/>
          <w:sz w:val="24"/>
          <w:szCs w:val="24"/>
        </w:rPr>
        <w:t xml:space="preserve"> </w:t>
      </w:r>
      <w:r w:rsidRPr="3CEB8552">
        <w:rPr>
          <w:rFonts w:ascii="Verdana" w:hAnsi="Verdana"/>
          <w:sz w:val="24"/>
          <w:szCs w:val="24"/>
        </w:rPr>
        <w:t>Entre las frutas de mayor interés se encuentra el mangostino (</w:t>
      </w:r>
      <w:proofErr w:type="spellStart"/>
      <w:r w:rsidRPr="3CEB8552">
        <w:rPr>
          <w:rFonts w:ascii="Verdana" w:hAnsi="Verdana"/>
          <w:i/>
          <w:iCs/>
          <w:sz w:val="24"/>
          <w:szCs w:val="24"/>
        </w:rPr>
        <w:t>Garcinia</w:t>
      </w:r>
      <w:proofErr w:type="spellEnd"/>
      <w:r w:rsidRPr="3CEB8552">
        <w:rPr>
          <w:rFonts w:ascii="Verdana" w:hAnsi="Verdana"/>
          <w:i/>
          <w:iCs/>
          <w:sz w:val="24"/>
          <w:szCs w:val="24"/>
        </w:rPr>
        <w:t xml:space="preserve"> </w:t>
      </w:r>
      <w:proofErr w:type="spellStart"/>
      <w:r w:rsidRPr="3CEB8552">
        <w:rPr>
          <w:rFonts w:ascii="Verdana" w:hAnsi="Verdana"/>
          <w:i/>
          <w:iCs/>
          <w:sz w:val="24"/>
          <w:szCs w:val="24"/>
        </w:rPr>
        <w:t>mangostana</w:t>
      </w:r>
      <w:proofErr w:type="spellEnd"/>
      <w:r w:rsidRPr="3CEB8552">
        <w:rPr>
          <w:rFonts w:ascii="Verdana" w:hAnsi="Verdana"/>
          <w:sz w:val="24"/>
          <w:szCs w:val="24"/>
        </w:rPr>
        <w:t xml:space="preserve">), </w:t>
      </w:r>
      <w:r w:rsidRPr="3CEB8552" w:rsidR="00CE1CC3">
        <w:rPr>
          <w:rFonts w:ascii="Verdana" w:hAnsi="Verdana"/>
          <w:sz w:val="24"/>
          <w:szCs w:val="24"/>
        </w:rPr>
        <w:t xml:space="preserve">el cual se consume principalmente por su pulpa, y </w:t>
      </w:r>
      <w:r w:rsidRPr="3CEB8552" w:rsidR="003C7869">
        <w:rPr>
          <w:rFonts w:ascii="Verdana" w:hAnsi="Verdana"/>
          <w:sz w:val="24"/>
          <w:szCs w:val="24"/>
        </w:rPr>
        <w:t xml:space="preserve">el pericarpio </w:t>
      </w:r>
      <w:r w:rsidRPr="3CEB8552" w:rsidR="00CE1CC3">
        <w:rPr>
          <w:rFonts w:ascii="Verdana" w:hAnsi="Verdana"/>
          <w:sz w:val="24"/>
          <w:szCs w:val="24"/>
        </w:rPr>
        <w:t xml:space="preserve">representa más del 60 % del peso total de la fruta, </w:t>
      </w:r>
      <w:r w:rsidRPr="3CEB8552" w:rsidR="006D6C35">
        <w:rPr>
          <w:rFonts w:ascii="Verdana" w:hAnsi="Verdana"/>
          <w:sz w:val="24"/>
          <w:szCs w:val="24"/>
        </w:rPr>
        <w:t xml:space="preserve">el cual es rico en varios compuestos fenólicos funcionales y beneficiosos para la salud, como </w:t>
      </w:r>
      <w:proofErr w:type="spellStart"/>
      <w:r w:rsidRPr="3CEB8552" w:rsidR="006D6C35">
        <w:rPr>
          <w:rFonts w:ascii="Verdana" w:hAnsi="Verdana"/>
          <w:sz w:val="24"/>
          <w:szCs w:val="24"/>
        </w:rPr>
        <w:t>xantonas</w:t>
      </w:r>
      <w:proofErr w:type="spellEnd"/>
      <w:r w:rsidRPr="3CEB8552" w:rsidR="006D6C35">
        <w:rPr>
          <w:rFonts w:ascii="Verdana" w:hAnsi="Verdana"/>
          <w:sz w:val="24"/>
          <w:szCs w:val="24"/>
        </w:rPr>
        <w:t xml:space="preserve"> (las más abundantes), benzofenonas, taninos, flavonoides y antocianinas. Además, el pericarpio del mangostino contiene diez veces más fenólicos que la pulpa, lo que le confiere una actividad antioxidante aproximadamente veinte veces superior</w:t>
      </w:r>
      <w:r w:rsidRPr="3CEB8552" w:rsidR="006D6C35">
        <w:rPr>
          <w:rFonts w:ascii="Verdana" w:hAnsi="Verdana"/>
          <w:noProof/>
          <w:sz w:val="24"/>
          <w:szCs w:val="24"/>
        </w:rPr>
        <w:t xml:space="preserve"> </w:t>
      </w:r>
      <w:r w:rsidRPr="3CEB8552">
        <w:rPr>
          <w:rFonts w:ascii="Verdana" w:hAnsi="Verdana"/>
          <w:noProof/>
          <w:sz w:val="24"/>
          <w:szCs w:val="24"/>
        </w:rPr>
        <w:fldChar w:fldCharType="begin" w:fldLock="1"/>
      </w:r>
      <w:r w:rsidR="000C39B8">
        <w:rPr>
          <w:rFonts w:ascii="Verdana" w:hAnsi="Verdana"/>
          <w:noProof/>
          <w:sz w:val="24"/>
          <w:szCs w:val="24"/>
        </w:rPr>
        <w:instrText>ADDIN CSL_CITATION {"citationItems":[{"id":"ITEM-1","itemData":{"DOI":"10.1016/j.biopha.2024.117365","ISSN":"07533322","author":[{"dropping-particle":"","family":"Gaafary","given":"Menna","non-dropping-particle":"El","parse-names":false,"suffix":""},{"dropping-particle":"","family":"Abdel-Baki","given":"Passent M.","non-dropping-particle":"","parse-names":false,"suffix":""},{"dropping-particle":"","family":"El-Halawany","given":"Ali M.","non-dropping-particle":"","parse-names":false,"suffix":""},{"dropping-particle":"","family":"Mohamed","given":"Heba M.","non-dropping-particle":"","parse-names":false,"suffix":""},{"dropping-particle":"","family":"Duweb","given":"Amira","non-dropping-particle":"","parse-names":false,"suffix":""},{"dropping-particle":"","family":"Abdallah","given":"Hossam M.","non-dropping-particle":"","parse-names":false,"suffix":""},{"dropping-particle":"","family":"Mohamed","given":"Gamal A.","non-dropping-particle":"","parse-names":false,"suffix":""},{"dropping-particle":"","family":"Ibrahim","given":"Sabrin R.M.","non-dropping-particle":"","parse-names":false,"suffix":""},{"dropping-particle":"","family":"Simmet","given":"Thomas","non-dropping-particle":"","parse-names":false,"suffix":""},{"dropping-particle":"","family":"Syrovets","given":"Tatiana","non-dropping-particle":"","parse-names":false,"suffix":""}],"container-title":"Biomedicine &amp; Pharmacotherapy","id":"ITEM-1","issued":{"date-parts":[["2024","10"]]},"page":"117365","title":"Prenylated xanthones from mangosteen (Garcinia mangostana) target oxidative mitochondrial respiration in cancer cells","type":"article-journal","volume":"179"},"uris":["http://www.mendeley.com/documents/?uuid=471910ed-c12c-3d42-85dd-8411be74a9dd","http://www.mendeley.com/documents/?uuid=a75e7943-1c69-43d2-84cd-ecba247ed688"]},{"id":"ITEM-2","itemData":{"DOI":"10.1016/j.focha.2023.100559","ISSN":"2772753X","author":[{"dropping-particle":"","family":"Netravati","given":"","non-dropping-particle":"","parse-names":false,"suffix":""},{"dropping-particle":"","family":"Gomez","given":"Saji","non-dropping-particle":"","parse-names":false,"suffix":""},{"dropping-particle":"","family":"Pathrose","given":"Berin","non-dropping-particle":"","parse-names":false,"suffix":""},{"dropping-particle":"","family":"Joseph","given":"Meagle","non-dropping-particle":"","parse-names":false,"suffix":""},{"dropping-particle":"","family":"Shynu","given":"M.","non-dropping-particle":"","parse-names":false,"suffix":""},{"dropping-particle":"","family":"Kuruvila","given":"Bintu","non-dropping-particle":"","parse-names":false,"suffix":""}],"container-title":"Food Chemistry Advances","id":"ITEM-2","issued":{"date-parts":[["2024","6"]]},"page":"100559","title":"Comparison of extraction methods on anthocyanin pigment attributes from mangosteen (Garcinia mangostana L.) fruit rind as potential food colourant","type":"article-journal","volume":"4"},"uris":["http://www.mendeley.com/documents/?uuid=9b2ffd01-2be8-45f5-bafa-59dc8c38f087","http://www.mendeley.com/documents/?uuid=3d4f67f0-0961-4a7f-aea8-526a51a4fc96"]}],"mendeley":{"formattedCitation":"(El Gaafary et al., 2024; Netravati et al., 2024)","plainTextFormattedCitation":"(El Gaafary et al., 2024; Netravati et al., 2024)","previouslyFormattedCitation":"(El Gaafary et al., 2024; Netravati et al., 2024)"},"properties":{"noteIndex":0},"schema":"https://github.com/citation-style-language/schema/raw/master/csl-citation.json"}</w:instrText>
      </w:r>
      <w:r w:rsidRPr="3CEB8552">
        <w:rPr>
          <w:rFonts w:ascii="Verdana" w:hAnsi="Verdana"/>
          <w:noProof/>
          <w:sz w:val="24"/>
          <w:szCs w:val="24"/>
        </w:rPr>
        <w:fldChar w:fldCharType="separate"/>
      </w:r>
      <w:r w:rsidRPr="3CEB8552" w:rsidR="006D6C35">
        <w:rPr>
          <w:rFonts w:ascii="Verdana" w:hAnsi="Verdana"/>
          <w:noProof/>
          <w:sz w:val="24"/>
          <w:szCs w:val="24"/>
        </w:rPr>
        <w:t>(El Gaafary et al., 2024; Netravati et al., 2024)</w:t>
      </w:r>
      <w:r w:rsidRPr="3CEB8552">
        <w:rPr>
          <w:rFonts w:ascii="Verdana" w:hAnsi="Verdana"/>
          <w:noProof/>
          <w:sz w:val="24"/>
          <w:szCs w:val="24"/>
        </w:rPr>
        <w:fldChar w:fldCharType="end"/>
      </w:r>
      <w:r w:rsidRPr="3CEB8552" w:rsidR="006D6C35">
        <w:rPr>
          <w:rFonts w:ascii="Verdana" w:hAnsi="Verdana"/>
          <w:sz w:val="24"/>
          <w:szCs w:val="24"/>
        </w:rPr>
        <w:t xml:space="preserve">. Adicionalmente, </w:t>
      </w:r>
      <w:r w:rsidRPr="3CEB8552" w:rsidR="003C7869">
        <w:rPr>
          <w:rFonts w:ascii="Verdana" w:hAnsi="Verdana"/>
          <w:sz w:val="24"/>
          <w:szCs w:val="24"/>
        </w:rPr>
        <w:t xml:space="preserve">el fruto es </w:t>
      </w:r>
      <w:r w:rsidRPr="3CEB8552">
        <w:rPr>
          <w:rFonts w:ascii="Verdana" w:hAnsi="Verdana"/>
          <w:sz w:val="24"/>
          <w:szCs w:val="24"/>
        </w:rPr>
        <w:t xml:space="preserve">reconocido principalmente por su actividad antimicrobiana, antioxidante, antiinflamatoria, hipoglucémica y de control de peso </w:t>
      </w:r>
      <w:r w:rsidRPr="3CEB8552">
        <w:rPr>
          <w:rFonts w:ascii="Verdana" w:hAnsi="Verdana"/>
          <w:sz w:val="24"/>
          <w:szCs w:val="24"/>
        </w:rPr>
        <w:fldChar w:fldCharType="begin" w:fldLock="1"/>
      </w:r>
      <w:r w:rsidR="00E514BB">
        <w:rPr>
          <w:rFonts w:ascii="Verdana" w:hAnsi="Verdana"/>
          <w:sz w:val="24"/>
          <w:szCs w:val="24"/>
        </w:rPr>
        <w:instrText>ADDIN CSL_CITATION {"citationItems":[{"id":"ITEM-1","itemData":{"DOI":"10.1016/j.fitote.2024.106282","ISSN":"0367326X","author":[{"dropping-particle":"","family":"Ahmed","given":"Idris Adewale","non-dropping-particle":"","parse-names":false,"suffix":""},{"dropping-particle":"","family":"Zamakshshari","given":"Nor Hisam","non-dropping-particle":"","parse-names":false,"suffix":""},{"dropping-particle":"","family":"Mikail","given":"Maryam Abimbola","non-dropping-particle":"","parse-names":false,"suffix":""},{"dropping-particle":"","family":"Bello","given":"Ibrahim","non-dropping-particle":"","parse-names":false,"suffix":""},{"dropping-particle":"","family":"Hossain","given":"Md. Sanower","non-dropping-particle":"","parse-names":false,"suffix":""}],"container-title":"Fitoterapia","id":"ITEM-1","issued":{"date-parts":[["2025","1"]]},"page":"106282","title":"Garcinia flavonoids for healthy aging: Anti-senescence mechanisms and cosmeceutical applications in skin care","type":"article-journal","volume":"180"},"uris":["http://www.mendeley.com/documents/?uuid=e9438a99-8ac5-38ce-bfd7-a9d8a8c0dcf0","http://www.mendeley.com/documents/?uuid=a94fdc9d-ba31-487a-bf65-a6a579f845d7"]},{"id":"ITEM-2","itemData":{"DOI":"10.1016/j.ejmech.2024.117227","ISSN":"02235234","author":[{"dropping-particle":"","family":"Priya","given":"Telukuntla Sai","non-dropping-particle":"","parse-names":false,"suffix":""},{"dropping-particle":"","family":"Patil","given":"Poonam","non-dropping-particle":"","parse-names":false,"suffix":""},{"dropping-particle":"","family":"Siva","given":"Bandi","non-dropping-particle":"","parse-names":false,"suffix":""},{"dropping-particle":"","family":"Roy","given":"Diya","non-dropping-particle":"","parse-names":false,"suffix":""},{"dropping-particle":"","family":"Dhote","given":"Radhika","non-dropping-particle":"","parse-names":false,"suffix":""},{"dropping-particle":"","family":"Parashar","given":"Deepti","non-dropping-particle":"","parse-names":false,"suffix":""},{"dropping-particle":"","family":"Alagarasu","given":"Kalichamy","non-dropping-particle":"","parse-names":false,"suffix":""},{"dropping-particle":"","family":"Cherian","given":"Sarah","non-dropping-particle":"","parse-names":false,"suffix":""},{"dropping-particle":"","family":"Suresh Babu","given":"K.","non-dropping-particle":"","parse-names":false,"suffix":""}],"container-title":"European Journal of Medicinal Chemistry","id":"ITEM-2","issued":{"date-parts":[["2025","2"]]},"page":"117227","title":"Novel α-mangostin derivatives as promising antiviral agents: Isolation, synthesis, and evaluation against chikungunya virus","type":"article-journal","volume":"284"},"uris":["http://www.mendeley.com/documents/?uuid=089fd50c-9238-3dc2-8fc8-261a727a592e","http://www.mendeley.com/documents/?uuid=08f5024f-2452-4253-a544-dd2e5fa58a6b"]},{"id":"ITEM-3","itemData":{"DOI":"10.1016/j.micpath.2025.107618","ISSN":"08824010","author":[{"dropping-particle":"","family":"Semangoen","given":"Tistaya","non-dropping-particle":"","parse-names":false,"suffix":""},{"dropping-particle":"","family":"Chotigawin","given":"Rotruedee","non-dropping-particle":"","parse-names":false,"suffix":""},{"dropping-particle":"","family":"Sangnim","given":"Tanikan","non-dropping-particle":"","parse-names":false,"suffix":""},{"dropping-particle":"","family":"Chailerd","given":"Nattida","non-dropping-particle":"","parse-names":false,"suffix":""},{"dropping-particle":"","family":"Yodkeeree","given":"Supachai","non-dropping-particle":"","parse-names":false,"suffix":""},{"dropping-particle":"","family":"Pahasup-anan","given":"Taddao","non-dropping-particle":"","parse-names":false,"suffix":""},{"dropping-particle":"","family":"Huanbutta","given":"Kampanart","non-dropping-particle":"","parse-names":false,"suffix":""}],"container-title":"Microbial Pathogenesis","id":"ITEM-3","issued":{"date-parts":[["2025","7"]]},"page":"107618","title":"Antimicrobial efficacy of Mangosteen (Garcinia mangostana) peel extracts in airborne microbial control within livestock farming environments","type":"article-journal","volume":"204"},"uris":["http://www.mendeley.com/documents/?uuid=011065d6-6492-3b86-8829-ae7e422fd84a","http://www.mendeley.com/documents/?uuid=1cc1273b-a9d1-4e6a-b163-025d08abfa72"]},{"id":"ITEM-4","itemData":{"DOI":"10.1016/j.biopha.2018.12.142","ISSN":"07533322","author":[{"dropping-particle":"","family":"Tatiya-aphiradee","given":"Nitima","non-dropping-particle":"","parse-names":false,"suffix":""},{"dropping-particle":"","family":"Chatuphonprasert","given":"Waranya","non-dropping-particle":"","parse-names":false,"suffix":""},{"dropping-particle":"","family":"Jarukamjorn","given":"Kanokwan","non-dropping-particle":"","parse-names":false,"suffix":""}],"container-title":"Biomedicine &amp; Pharmacotherapy","id":"ITEM-4","issued":{"date-parts":[["2019","3"]]},"page":"705-713","title":"Anti-inflammatory effect of Garcinia mangostana Linn. pericarp extract in methicillin-resistant Staphylococcus aureus-induced superficial skin infection in mice","type":"article-journal","volume":"111"},"uris":["http://www.mendeley.com/documents/?uuid=0cfb8a46-6d4a-4db3-8866-745bf740b237","http://www.mendeley.com/documents/?uuid=ffbd3742-97bd-48c0-bab2-22592afd89d1"]}],"mendeley":{"formattedCitation":"(Ahmed, Zamakshshari, Mikail, Bello, &amp; Hossain, 2025; Priya et al., 2025; Semangoen et al., 2025; Tatiya-aphiradee, Chatuphonprasert, &amp; Jarukamjorn, 2019)","plainTextFormattedCitation":"(Ahmed, Zamakshshari, Mikail, Bello, &amp; Hossain, 2025; Priya et al., 2025; Semangoen et al., 2025; Tatiya-aphiradee, Chatuphonprasert, &amp; Jarukamjorn, 2019)","previouslyFormattedCitation":"(Ahmed, Zamakshshari, Mikail, Bello, &amp; Hossain, 2025; Priya et al., 2025; Semangoen et al., 2025; Tatiya-aphiradee, Chatuphonprasert, &amp; Jarukamjorn, 2019)"},"properties":{"noteIndex":0},"schema":"https://github.com/citation-style-language/schema/raw/master/csl-citation.json"}</w:instrText>
      </w:r>
      <w:r w:rsidRPr="3CEB8552">
        <w:rPr>
          <w:rFonts w:ascii="Verdana" w:hAnsi="Verdana"/>
          <w:sz w:val="24"/>
          <w:szCs w:val="24"/>
        </w:rPr>
        <w:fldChar w:fldCharType="separate"/>
      </w:r>
      <w:r w:rsidRPr="000C39B8" w:rsidR="000C39B8">
        <w:rPr>
          <w:rFonts w:ascii="Verdana" w:hAnsi="Verdana"/>
          <w:noProof/>
          <w:sz w:val="24"/>
          <w:szCs w:val="24"/>
        </w:rPr>
        <w:t>(Ahmed, Zamakshshari, Mikail, Bello, &amp; Hossain, 2025; Priya et al., 2025; Semangoen et al., 2025; Tatiya-aphiradee, Chatuphonprasert, &amp; Jarukamjorn, 2019)</w:t>
      </w:r>
      <w:r w:rsidRPr="3CEB8552">
        <w:rPr>
          <w:rFonts w:ascii="Verdana" w:hAnsi="Verdana"/>
          <w:sz w:val="24"/>
          <w:szCs w:val="24"/>
        </w:rPr>
        <w:fldChar w:fldCharType="end"/>
      </w:r>
      <w:r w:rsidRPr="3CEB8552">
        <w:rPr>
          <w:rFonts w:ascii="Verdana" w:hAnsi="Verdana"/>
          <w:sz w:val="24"/>
          <w:szCs w:val="24"/>
        </w:rPr>
        <w:t xml:space="preserve">. Los componentes de mayor interés extraídos del pericarpio del fruto son varios tipos de </w:t>
      </w:r>
      <w:proofErr w:type="spellStart"/>
      <w:r w:rsidRPr="3CEB8552">
        <w:rPr>
          <w:rFonts w:ascii="Verdana" w:hAnsi="Verdana"/>
          <w:sz w:val="24"/>
          <w:szCs w:val="24"/>
        </w:rPr>
        <w:t>xantonas</w:t>
      </w:r>
      <w:proofErr w:type="spellEnd"/>
      <w:r w:rsidRPr="3CEB8552">
        <w:rPr>
          <w:rFonts w:ascii="Verdana" w:hAnsi="Verdana"/>
          <w:sz w:val="24"/>
          <w:szCs w:val="24"/>
        </w:rPr>
        <w:t>; entre las más estudiadas, γ-</w:t>
      </w:r>
      <w:proofErr w:type="spellStart"/>
      <w:r w:rsidRPr="3CEB8552">
        <w:rPr>
          <w:rFonts w:ascii="Verdana" w:hAnsi="Verdana"/>
          <w:sz w:val="24"/>
          <w:szCs w:val="24"/>
        </w:rPr>
        <w:t>mangostina</w:t>
      </w:r>
      <w:proofErr w:type="spellEnd"/>
      <w:r w:rsidRPr="3CEB8552">
        <w:rPr>
          <w:rFonts w:ascii="Verdana" w:hAnsi="Verdana"/>
          <w:sz w:val="24"/>
          <w:szCs w:val="24"/>
        </w:rPr>
        <w:t xml:space="preserve">, 8-desoxigartanina, </w:t>
      </w:r>
      <w:proofErr w:type="spellStart"/>
      <w:r w:rsidRPr="3CEB8552">
        <w:rPr>
          <w:rFonts w:ascii="Verdana" w:hAnsi="Verdana"/>
          <w:sz w:val="24"/>
          <w:szCs w:val="24"/>
        </w:rPr>
        <w:t>gartanina</w:t>
      </w:r>
      <w:proofErr w:type="spellEnd"/>
      <w:r w:rsidRPr="3CEB8552">
        <w:rPr>
          <w:rFonts w:ascii="Verdana" w:hAnsi="Verdana"/>
          <w:sz w:val="24"/>
          <w:szCs w:val="24"/>
        </w:rPr>
        <w:t xml:space="preserve">, </w:t>
      </w:r>
      <w:proofErr w:type="spellStart"/>
      <w:r w:rsidRPr="3CEB8552">
        <w:rPr>
          <w:rFonts w:ascii="Verdana" w:hAnsi="Verdana"/>
          <w:sz w:val="24"/>
          <w:szCs w:val="24"/>
        </w:rPr>
        <w:t>gartanina</w:t>
      </w:r>
      <w:proofErr w:type="spellEnd"/>
      <w:r w:rsidRPr="3CEB8552">
        <w:rPr>
          <w:rFonts w:ascii="Verdana" w:hAnsi="Verdana"/>
          <w:sz w:val="24"/>
          <w:szCs w:val="24"/>
        </w:rPr>
        <w:t xml:space="preserve"> E, β-</w:t>
      </w:r>
      <w:proofErr w:type="spellStart"/>
      <w:r w:rsidRPr="3CEB8552">
        <w:rPr>
          <w:rFonts w:ascii="Verdana" w:hAnsi="Verdana"/>
          <w:sz w:val="24"/>
          <w:szCs w:val="24"/>
        </w:rPr>
        <w:t>mangostina</w:t>
      </w:r>
      <w:proofErr w:type="spellEnd"/>
      <w:r w:rsidRPr="3CEB8552">
        <w:rPr>
          <w:rFonts w:ascii="Verdana" w:hAnsi="Verdana"/>
          <w:sz w:val="24"/>
          <w:szCs w:val="24"/>
        </w:rPr>
        <w:t xml:space="preserve"> y α-</w:t>
      </w:r>
      <w:proofErr w:type="spellStart"/>
      <w:r w:rsidRPr="3CEB8552">
        <w:rPr>
          <w:rFonts w:ascii="Verdana" w:hAnsi="Verdana"/>
          <w:sz w:val="24"/>
          <w:szCs w:val="24"/>
        </w:rPr>
        <w:t>mangostina</w:t>
      </w:r>
      <w:proofErr w:type="spellEnd"/>
      <w:r w:rsidRPr="3CEB8552">
        <w:rPr>
          <w:rFonts w:ascii="Verdana" w:hAnsi="Verdana"/>
          <w:sz w:val="24"/>
          <w:szCs w:val="24"/>
        </w:rPr>
        <w:t xml:space="preserve"> </w:t>
      </w:r>
      <w:r w:rsidRPr="3CEB8552">
        <w:rPr>
          <w:rFonts w:ascii="Verdana" w:hAnsi="Verdana"/>
          <w:sz w:val="24"/>
          <w:szCs w:val="24"/>
        </w:rPr>
        <w:fldChar w:fldCharType="begin" w:fldLock="1"/>
      </w:r>
      <w:r w:rsidR="00E514BB">
        <w:rPr>
          <w:rFonts w:ascii="Verdana" w:hAnsi="Verdana"/>
          <w:sz w:val="24"/>
          <w:szCs w:val="24"/>
        </w:rPr>
        <w:instrText>ADDIN CSL_CITATION {"citationItems":[{"id":"ITEM-1","itemData":{"DOI":"10.1080/14786419.2024.2449493","ISSN":"1478-6419","author":[{"dropping-particle":"","family":"Ahmad Izuren Shah","given":"Nurin Syamimi","non-dropping-particle":"","parse-names":false,"suffix":""},{"dropping-particle":"","family":"Abu Bakar","given":"Mohd Rushdi","non-dropping-particle":"","parse-names":false,"suffix":""},{"dropping-particle":"","family":"Taher","given":"Muhammad","non-dropping-particle":"","parse-names":false,"suffix":""},{"dropping-particle":"","family":"Danial","given":"Wan Hazman","non-dropping-particle":"","parse-names":false,"suffix":""},{"dropping-particle":"","family":"Adam","given":"Fatmawati","non-dropping-particle":"","parse-names":false,"suffix":""},{"dropping-particle":"","family":"Abdul Rahim","given":"Syarifah","non-dropping-particle":"","parse-names":false,"suffix":""}],"container-title":"Natural Product Research","id":"ITEM-1","issued":{"date-parts":[["2025","1"]]},"page":"1-5","title":"Occurrence analysis of alpha-mangostin from different organs of &lt;i&gt;Garcinia mangostana&lt;/i&gt; L.","type":"article-journal"},"uris":["http://www.mendeley.com/documents/?uuid=7ea7bea0-da05-31b6-a6af-4c53efe80a47","http://www.mendeley.com/documents/?uuid=9024f9f6-ffed-4593-9be6-f65fda36123d"]},{"id":"ITEM-2","itemData":{"DOI":"10.1016/j.foodchem.2012.02.094","ISSN":"03088146","author":[{"dropping-particle":"","family":"Wittenauer","given":"Judith","non-dropping-particle":"","parse-names":false,"suffix":""},{"dropping-particle":"","family":"Falk","given":"Susanne","non-dropping-particle":"","parse-names":false,"suffix":""},{"dropping-particle":"","family":"Schweiggert-Weisz","given":"Ute","non-dropping-particle":"","parse-names":false,"suffix":""},{"dropping-particle":"","family":"Carle","given":"Reinhold","non-dropping-particle":"","parse-names":false,"suffix":""}],"container-title":"Food Chemistry","id":"ITEM-2","issue":"1","issued":{"date-parts":[["2012","9"]]},"page":"445-452","title":"Characterisation and quantification of xanthones from the aril and pericarp of mangosteens (Garcinia mangostana L.) and a mangosteen containing functional beverage by HPLC–DAD–MSn","type":"article-journal","volume":"134"},"uris":["http://www.mendeley.com/documents/?uuid=3b3cb134-3052-4c81-b9cf-9a81400fe152","http://www.mendeley.com/documents/?uuid=09df7b6f-498b-4f1d-8e36-d4553512ce8f"]},{"id":"ITEM-3","itemData":{"DOI":"10.1016/j.jafr.2025.101735","ISSN":"26661543","author":[{"dropping-particle":"","family":"Zhan","given":"Ningping","non-dropping-particle":"","parse-names":false,"suffix":""},{"dropping-particle":"","family":"Song","given":"Zhixuan","non-dropping-particle":"","parse-names":false,"suffix":""},{"dropping-particle":"","family":"Yu","given":"Liangli","non-dropping-particle":"","parse-names":false,"suffix":""},{"dropping-particle":"","family":"Huang","given":"Dejian","non-dropping-particle":"","parse-names":false,"suffix":""}],"container-title":"Journal of Agriculture and Food Research","id":"ITEM-3","issued":{"date-parts":[["2025","3"]]},"page":"101735","title":"Sustainable agriceuticals: Alkaline solubilization and acid precipitation (ASAP) effectively isolate mangosteen pericarps xanthones with high bioactivity","type":"article-journal","volume":"19"},"uris":["http://www.mendeley.com/documents/?uuid=2269db33-1c99-3978-bfcd-539210247c83","http://www.mendeley.com/documents/?uuid=5e6e624c-3ef5-41f8-853d-0f36bfc9737b"]},{"id":"ITEM-4","itemData":{"DOI":"10.1016/j.biopha.2024.117365","ISSN":"07533322","author":[{"dropping-particle":"","family":"Gaafary","given":"Menna","non-dropping-particle":"El","parse-names":false,"suffix":""},{"dropping-particle":"","family":"Abdel-Baki","given":"Passent M.","non-dropping-particle":"","parse-names":false,"suffix":""},{"dropping-particle":"","family":"El-Halawany","given":"Ali M.","non-dropping-particle":"","parse-names":false,"suffix":""},{"dropping-particle":"","family":"Mohamed","given":"Heba M.","non-dropping-particle":"","parse-names":false,"suffix":""},{"dropping-particle":"","family":"Duweb","given":"Amira","non-dropping-particle":"","parse-names":false,"suffix":""},{"dropping-particle":"","family":"Abdallah","given":"Hossam M.","non-dropping-particle":"","parse-names":false,"suffix":""},{"dropping-particle":"","family":"Mohamed","given":"Gamal A.","non-dropping-particle":"","parse-names":false,"suffix":""},{"dropping-particle":"","family":"Ibrahim","given":"Sabrin R.M.","non-dropping-particle":"","parse-names":false,"suffix":""},{"dropping-particle":"","family":"Simmet","given":"Thomas","non-dropping-particle":"","parse-names":false,"suffix":""},{"dropping-particle":"","family":"Syrovets","given":"Tatiana","non-dropping-particle":"","parse-names":false,"suffix":""}],"container-title":"Biomedicine &amp; Pharmacotherapy","id":"ITEM-4","issued":{"date-parts":[["2024","10"]]},"page":"117365","title":"Prenylated xanthones from mangosteen (Garcinia mangostana) target oxidative mitochondrial respiration in cancer cells","type":"article-journal","volume":"179"},"uris":["http://www.mendeley.com/documents/?uuid=a75e7943-1c69-43d2-84cd-ecba247ed688","http://www.mendeley.com/documents/?uuid=471910ed-c12c-3d42-85dd-8411be74a9dd"]}],"mendeley":{"formattedCitation":"(Ahmad Izuren Shah et al., 2025; El Gaafary et al., 2024; Wittenauer, Falk, Schweiggert-Weisz, &amp; Carle, 2012; Zhan, Song, Yu, &amp; Huang, 2025)","manualFormatting":"(El Gaafary et al., 2024; Wittenauer et al., 2012; Zhan et al., 2025)","plainTextFormattedCitation":"(Ahmad Izuren Shah et al., 2025; El Gaafary et al., 2024; Wittenauer, Falk, Schweiggert-Weisz, &amp; Carle, 2012; Zhan, Song, Yu, &amp; Huang, 2025)","previouslyFormattedCitation":"(Ahmad Izuren Shah et al., 2025; El Gaafary et al., 2024; Wittenauer, Falk, Schweiggert-Weisz, &amp; Carle, 2012; Zhan, Song, Yu, &amp; Huang, 2025)"},"properties":{"noteIndex":0},"schema":"https://github.com/citation-style-language/schema/raw/master/csl-citation.json"}</w:instrText>
      </w:r>
      <w:r w:rsidRPr="3CEB8552">
        <w:rPr>
          <w:rFonts w:ascii="Verdana" w:hAnsi="Verdana"/>
          <w:sz w:val="24"/>
          <w:szCs w:val="24"/>
        </w:rPr>
        <w:fldChar w:fldCharType="separate"/>
      </w:r>
      <w:r w:rsidRPr="3CEB8552" w:rsidR="003C7869">
        <w:rPr>
          <w:rFonts w:ascii="Verdana" w:hAnsi="Verdana"/>
          <w:noProof/>
          <w:sz w:val="24"/>
          <w:szCs w:val="24"/>
        </w:rPr>
        <w:t>(El Gaafary et al., 2024; Wittenauer et al., 2012; Zhan et al., 2025)</w:t>
      </w:r>
      <w:r w:rsidRPr="3CEB8552">
        <w:rPr>
          <w:rFonts w:ascii="Verdana" w:hAnsi="Verdana"/>
          <w:sz w:val="24"/>
          <w:szCs w:val="24"/>
        </w:rPr>
        <w:fldChar w:fldCharType="end"/>
      </w:r>
      <w:r w:rsidRPr="3CEB8552" w:rsidR="003C7869">
        <w:rPr>
          <w:rFonts w:ascii="Verdana" w:hAnsi="Verdana"/>
          <w:sz w:val="24"/>
          <w:szCs w:val="24"/>
        </w:rPr>
        <w:t xml:space="preserve"> </w:t>
      </w:r>
      <w:r w:rsidRPr="3CEB8552">
        <w:rPr>
          <w:rFonts w:ascii="Verdana" w:hAnsi="Verdana"/>
          <w:sz w:val="24"/>
          <w:szCs w:val="24"/>
        </w:rPr>
        <w:t xml:space="preserve">. Esta última se encuentra principalmente en el pericarpio del fruto y se le atribuye la mayor actividad biológica </w:t>
      </w:r>
      <w:r w:rsidRPr="3CEB8552">
        <w:rPr>
          <w:rFonts w:ascii="Verdana" w:hAnsi="Verdana"/>
          <w:sz w:val="24"/>
          <w:szCs w:val="24"/>
        </w:rPr>
        <w:fldChar w:fldCharType="begin" w:fldLock="1"/>
      </w:r>
      <w:r w:rsidR="000C39B8">
        <w:rPr>
          <w:rFonts w:ascii="Verdana" w:hAnsi="Verdana"/>
          <w:sz w:val="24"/>
          <w:szCs w:val="24"/>
        </w:rPr>
        <w:instrText>ADDIN CSL_CITATION {"citationItems":[{"id":"ITEM-1","itemData":{"DOI":"10.1365/s10337-008-0890-1","ISSN":"0009-5893","author":[{"dropping-particle":"","family":"Chaivisuthangkura","given":"Apinya","non-dropping-particle":"","parse-names":false,"suffix":""},{"dropping-particle":"","family":"Malaikaew","given":"Yaowaluk","non-dropping-particle":"","parse-names":false,"suffix":""},{"dropping-particle":"","family":"Chaovanalikit","given":"Arusa","non-dropping-particle":"","parse-names":false,"suffix":""},{"dropping-particle":"","family":"Jaratrungtawee","given":"Amornmart","non-dropping-particle":"","parse-names":false,"suffix":""},{"dropping-particle":"","family":"Panseeta","given":"Panomwan","non-dropping-particle":"","parse-names":false,"suffix":""},{"dropping-particle":"","family":"Ratananukul","given":"Piniti","non-dropping-particle":"","parse-names":false,"suffix":""},{"dropping-particle":"","family":"Suksamrarn","given":"Sunit","non-dropping-particle":"","parse-names":false,"suffix":""}],"container-title":"Chromatographia","id":"ITEM-1","issue":"3-4","issued":{"date-parts":[["2009","2"]]},"page":"315-318","title":"Prenylated Xanthone Composition of Garcinia mangostana (Mangosteen) Fruit Hull","type":"article-journal","volume":"69"},"uris":["http://www.mendeley.com/documents/?uuid=76ab8072-a80f-4ffd-ae61-79c6b63357cf","http://www.mendeley.com/documents/?uuid=35ea019f-1d1c-4293-becf-0d014433cfe1"]},{"id":"ITEM-2","itemData":{"DOI":"10.1016/j.biopha.2024.117365","ISSN":"07533322","author":[{"dropping-particle":"","family":"Gaafary","given":"Menna","non-dropping-particle":"El","parse-names":false,"suffix":""},{"dropping-particle":"","family":"Abdel-Baki","given":"Passent M.","non-dropping-particle":"","parse-names":false,"suffix":""},{"dropping-particle":"","family":"El-Halawany","given":"Ali M.","non-dropping-particle":"","parse-names":false,"suffix":""},{"dropping-particle":"","family":"Mohamed","given":"Heba M.","non-dropping-particle":"","parse-names":false,"suffix":""},{"dropping-particle":"","family":"Duweb","given":"Amira","non-dropping-particle":"","parse-names":false,"suffix":""},{"dropping-particle":"","family":"Abdallah","given":"Hossam M.","non-dropping-particle":"","parse-names":false,"suffix":""},{"dropping-particle":"","family":"Mohamed","given":"Gamal A.","non-dropping-particle":"","parse-names":false,"suffix":""},{"dropping-particle":"","family":"Ibrahim","given":"Sabrin R.M.","non-dropping-particle":"","parse-names":false,"suffix":""},{"dropping-particle":"","family":"Simmet","given":"Thomas","non-dropping-particle":"","parse-names":false,"suffix":""},{"dropping-particle":"","family":"Syrovets","given":"Tatiana","non-dropping-particle":"","parse-names":false,"suffix":""}],"container-title":"Biomedicine &amp; Pharmacotherapy","id":"ITEM-2","issued":{"date-parts":[["2024","10"]]},"page":"117365","title":"Prenylated xanthones from mangosteen (Garcinia mangostana) target oxidative mitochondrial respiration in cancer cells","type":"article-journal","volume":"179"},"uris":["http://www.mendeley.com/documents/?uuid=a75e7943-1c69-43d2-84cd-ecba247ed688","http://www.mendeley.com/documents/?uuid=471910ed-c12c-3d42-85dd-8411be74a9dd"]},{"id":"ITEM-3","itemData":{"DOI":"10.1016/j.ejmech.2024.117227","ISSN":"02235234","author":[{"dropping-particle":"","family":"Priya","given":"Telukuntla Sai","non-dropping-particle":"","parse-names":false,"suffix":""},{"dropping-particle":"","family":"Patil","given":"Poonam","non-dropping-particle":"","parse-names":false,"suffix":""},{"dropping-particle":"","family":"Siva","given":"Bandi","non-dropping-particle":"","parse-names":false,"suffix":""},{"dropping-particle":"","family":"Roy","given":"Diya","non-dropping-particle":"","parse-names":false,"suffix":""},{"dropping-particle":"","family":"Dhote","given":"Radhika","non-dropping-particle":"","parse-names":false,"suffix":""},{"dropping-particle":"","family":"Parashar","given":"Deepti","non-dropping-particle":"","parse-names":false,"suffix":""},{"dropping-particle":"","family":"Alagarasu","given":"Kalichamy","non-dropping-particle":"","parse-names":false,"suffix":""},{"dropping-particle":"","family":"Cherian","given":"Sarah","non-dropping-particle":"","parse-names":false,"suffix":""},{"dropping-particle":"","family":"Suresh Babu","given":"K.","non-dropping-particle":"","parse-names":false,"suffix":""}],"container-title":"European Journal of Medicinal Chemistry","id":"ITEM-3","issued":{"date-parts":[["2025","2"]]},"page":"117227","title":"Novel α-mangostin derivatives as promising antiviral agents: Isolation, synthesis, and evaluation against chikungunya virus","type":"article-journal","volume":"284"},"uris":["http://www.mendeley.com/documents/?uuid=08f5024f-2452-4253-a544-dd2e5fa58a6b","http://www.mendeley.com/documents/?uuid=089fd50c-9238-3dc2-8fc8-261a727a592e","http://www.mendeley.com/documents/?uuid=9eb893c1-4203-4267-8835-ed6477f3dd8a"]}],"mendeley":{"formattedCitation":"(Chaivisuthangkura et al., 2009; El Gaafary et al., 2024; Priya et al., 2025)","manualFormatting":"(El Gaafary et al., 2024; Priya et al., 2025)","plainTextFormattedCitation":"(Chaivisuthangkura et al., 2009; El Gaafary et al., 2024; Priya et al., 2025)","previouslyFormattedCitation":"(Chaivisuthangkura et al., 2009; El Gaafary et al., 2024; Priya et al., 2025)"},"properties":{"noteIndex":0},"schema":"https://github.com/citation-style-language/schema/raw/master/csl-citation.json"}</w:instrText>
      </w:r>
      <w:r w:rsidRPr="3CEB8552">
        <w:rPr>
          <w:rFonts w:ascii="Verdana" w:hAnsi="Verdana"/>
          <w:sz w:val="24"/>
          <w:szCs w:val="24"/>
        </w:rPr>
        <w:fldChar w:fldCharType="separate"/>
      </w:r>
      <w:r w:rsidRPr="3CEB8552">
        <w:rPr>
          <w:rFonts w:ascii="Verdana" w:hAnsi="Verdana"/>
          <w:noProof/>
          <w:sz w:val="24"/>
          <w:szCs w:val="24"/>
        </w:rPr>
        <w:t>(El Gaafary et al., 2024; Priya et al., 2025)</w:t>
      </w:r>
      <w:r w:rsidRPr="3CEB8552">
        <w:rPr>
          <w:rFonts w:ascii="Verdana" w:hAnsi="Verdana"/>
          <w:sz w:val="24"/>
          <w:szCs w:val="24"/>
        </w:rPr>
        <w:fldChar w:fldCharType="end"/>
      </w:r>
      <w:r w:rsidRPr="3CEB8552">
        <w:rPr>
          <w:rFonts w:ascii="Verdana" w:hAnsi="Verdana"/>
          <w:sz w:val="24"/>
          <w:szCs w:val="24"/>
        </w:rPr>
        <w:t xml:space="preserve">. </w:t>
      </w:r>
    </w:p>
    <w:p w:rsidR="00B43113" w:rsidP="00E71CFF" w:rsidRDefault="00DE3903" w14:paraId="6AAB1B41" w14:textId="62E22182">
      <w:pPr>
        <w:jc w:val="both"/>
        <w:rPr>
          <w:rFonts w:ascii="Verdana" w:hAnsi="Verdana"/>
          <w:sz w:val="24"/>
          <w:szCs w:val="24"/>
        </w:rPr>
      </w:pPr>
      <w:r w:rsidRPr="00DE3903">
        <w:rPr>
          <w:rFonts w:ascii="Verdana" w:hAnsi="Verdana"/>
          <w:sz w:val="24"/>
          <w:szCs w:val="24"/>
        </w:rPr>
        <w:lastRenderedPageBreak/>
        <w:t>Se han estudiado diferentes métodos modernos de extracción para mejorar el rendimiento, reducir los tiempos y mantener la actividad biológica de los compuestos fenólicos, en comparación con los métodos tradicionales</w:t>
      </w:r>
      <w:r>
        <w:rPr>
          <w:rFonts w:ascii="Verdana" w:hAnsi="Verdana"/>
          <w:sz w:val="24"/>
          <w:szCs w:val="24"/>
        </w:rPr>
        <w:t xml:space="preserve"> </w:t>
      </w:r>
      <w:r>
        <w:rPr>
          <w:rFonts w:ascii="Verdana" w:hAnsi="Verdana"/>
          <w:sz w:val="24"/>
          <w:szCs w:val="24"/>
        </w:rPr>
        <w:fldChar w:fldCharType="begin" w:fldLock="1"/>
      </w:r>
      <w:r w:rsidR="000C39B8">
        <w:rPr>
          <w:rFonts w:ascii="Verdana" w:hAnsi="Verdana"/>
          <w:sz w:val="24"/>
          <w:szCs w:val="24"/>
        </w:rPr>
        <w:instrText>ADDIN CSL_CITATION {"citationItems":[{"id":"ITEM-1","itemData":{"DOI":"10.1016/j.scp.2022.100728","ISSN":"23525541","author":[{"dropping-particle":"","family":"Maravić","given":"Nikola","non-dropping-particle":"","parse-names":false,"suffix":""},{"dropping-particle":"","family":"Teslić","given":"Nemanja","non-dropping-particle":"","parse-names":false,"suffix":""},{"dropping-particle":"","family":"Nikolić","given":"Dora","non-dropping-particle":"","parse-names":false,"suffix":""},{"dropping-particle":"","family":"Dimić","given":"Ivana","non-dropping-particle":"","parse-names":false,"suffix":""},{"dropping-particle":"","family":"Šereš","given":"Zita","non-dropping-particle":"","parse-names":false,"suffix":""},{"dropping-particle":"","family":"Pavlić","given":"Branimir","non-dropping-particle":"","parse-names":false,"suffix":""}],"container-title":"Sustainable Chemistry and Pharmacy","id":"ITEM-1","issued":{"date-parts":[["2022","9"]]},"page":"100728","title":"From agricultural waste to antioxidant-rich extracts: Green techniques in extraction of polyphenols from sugar beet leaves","type":"article-journal","volume":"28"},"uris":["http://www.mendeley.com/documents/?uuid=a744cfa3-d3e9-4c64-8150-1927b1d0f839","http://www.mendeley.com/documents/?uuid=b9061a00-4f84-4884-ac71-59848cc5133d"]}],"mendeley":{"formattedCitation":"(Maravić et al., 2022)","plainTextFormattedCitation":"(Maravić et al., 2022)","previouslyFormattedCitation":"(Maravić et al., 2022)"},"properties":{"noteIndex":0},"schema":"https://github.com/citation-style-language/schema/raw/master/csl-citation.json"}</w:instrText>
      </w:r>
      <w:r>
        <w:rPr>
          <w:rFonts w:ascii="Verdana" w:hAnsi="Verdana"/>
          <w:sz w:val="24"/>
          <w:szCs w:val="24"/>
        </w:rPr>
        <w:fldChar w:fldCharType="separate"/>
      </w:r>
      <w:r w:rsidRPr="00DE3903">
        <w:rPr>
          <w:rFonts w:ascii="Verdana" w:hAnsi="Verdana"/>
          <w:noProof/>
          <w:sz w:val="24"/>
          <w:szCs w:val="24"/>
        </w:rPr>
        <w:t>(Maravić et al., 2022)</w:t>
      </w:r>
      <w:r>
        <w:rPr>
          <w:rFonts w:ascii="Verdana" w:hAnsi="Verdana"/>
          <w:sz w:val="24"/>
          <w:szCs w:val="24"/>
        </w:rPr>
        <w:fldChar w:fldCharType="end"/>
      </w:r>
      <w:r w:rsidRPr="00DE3903">
        <w:rPr>
          <w:rFonts w:ascii="Verdana" w:hAnsi="Verdana"/>
          <w:sz w:val="24"/>
          <w:szCs w:val="24"/>
        </w:rPr>
        <w:t>. Entre est</w:t>
      </w:r>
      <w:r>
        <w:rPr>
          <w:rFonts w:ascii="Verdana" w:hAnsi="Verdana"/>
          <w:sz w:val="24"/>
          <w:szCs w:val="24"/>
        </w:rPr>
        <w:t>o</w:t>
      </w:r>
      <w:r w:rsidRPr="00DE3903">
        <w:rPr>
          <w:rFonts w:ascii="Verdana" w:hAnsi="Verdana"/>
          <w:sz w:val="24"/>
          <w:szCs w:val="24"/>
        </w:rPr>
        <w:t>s, la Extracción Asistida por Ultrasonido (EAU) se basa en el uso de ondas sonoras con un rango de frecuencia de 20 kHz a 100 MHz</w:t>
      </w:r>
      <w:r w:rsidR="0068350C">
        <w:rPr>
          <w:rFonts w:ascii="Verdana" w:hAnsi="Verdana"/>
          <w:sz w:val="24"/>
          <w:szCs w:val="24"/>
        </w:rPr>
        <w:t xml:space="preserve"> </w:t>
      </w:r>
      <w:r w:rsidR="0068350C">
        <w:rPr>
          <w:rFonts w:ascii="Verdana" w:hAnsi="Verdana"/>
          <w:sz w:val="24"/>
          <w:szCs w:val="24"/>
        </w:rPr>
        <w:fldChar w:fldCharType="begin" w:fldLock="1"/>
      </w:r>
      <w:r w:rsidR="00E514BB">
        <w:rPr>
          <w:rFonts w:ascii="Verdana" w:hAnsi="Verdana"/>
          <w:sz w:val="24"/>
          <w:szCs w:val="24"/>
        </w:rPr>
        <w:instrText>ADDIN CSL_CITATION {"citationItems":[{"id":"ITEM-1","itemData":{"DOI":"10.1016/j.sampre.2025.100166","ISSN":"27725820","author":[{"dropping-particle":"","family":"Pietrangeli","given":"G.","non-dropping-particle":"","parse-names":false,"suffix":""},{"dropping-particle":"","family":"Posta","given":"S.","non-dropping-particle":"Della","parse-names":false,"suffix":""},{"dropping-particle":"","family":"D'Alessandro","given":"E.","non-dropping-particle":"","parse-names":false,"suffix":""},{"dropping-particle":"","family":"Giannitelli","given":"S.M.","non-dropping-particle":"","parse-names":false,"suffix":""},{"dropping-particle":"","family":"Trombetta","given":"M.","non-dropping-particle":"","parse-names":false,"suffix":""},{"dropping-particle":"","family":"Maggi","given":"C.","non-dropping-particle":"","parse-names":false,"suffix":""},{"dropping-particle":"","family":"Gara","given":"L.","non-dropping-particle":"De","parse-names":false,"suffix":""},{"dropping-particle":"","family":"Fanali","given":"C.","non-dropping-particle":"","parse-names":false,"suffix":""}],"container-title":"Advances in Sample Preparation","id":"ITEM-1","issued":{"date-parts":[["2025","2"]]},"page":"100166","title":"Sustainable Supramolecular Deep Eutectic Solvents based extraction for bioactive phenolic compounds recovery from olive pomace","type":"article-journal","volume":"13"},"uris":["http://www.mendeley.com/documents/?uuid=2183d0a5-7c24-43d2-b8e7-1aae74299d53","http://www.mendeley.com/documents/?uuid=678beea1-f773-4379-8378-c18d8a451706"]},{"id":"ITEM-2","itemData":{"DOI":"10.1016/j.afres.2022.100211","ISSN":"27725022","author":[{"dropping-particle":"","family":"Saini","given":"Anuradha","non-dropping-particle":"","parse-names":false,"suffix":""},{"dropping-particle":"","family":"Kumar","given":"Anil","non-dropping-particle":"","parse-names":false,"suffix":""},{"dropping-particle":"","family":"Panesar","given":"Parmjit Singh","non-dropping-particle":"","parse-names":false,"suffix":""},{"dropping-particle":"","family":"Thakur","given":"Avinash","non-dropping-particle":"","parse-names":false,"suffix":""}],"container-title":"Applied Food Research","id":"ITEM-2","issue":"2","issued":{"date-parts":[["2022","12"]]},"page":"100211","title":"Potential of deep eutectic solvents in the extraction of value</w:instrText>
      </w:r>
      <w:r w:rsidR="00E514BB">
        <w:rPr>
          <w:rFonts w:ascii="Cambria Math" w:hAnsi="Cambria Math" w:cs="Cambria Math"/>
          <w:sz w:val="24"/>
          <w:szCs w:val="24"/>
        </w:rPr>
        <w:instrText>‐</w:instrText>
      </w:r>
      <w:r w:rsidR="00E514BB">
        <w:rPr>
          <w:rFonts w:ascii="Verdana" w:hAnsi="Verdana"/>
          <w:sz w:val="24"/>
          <w:szCs w:val="24"/>
        </w:rPr>
        <w:instrText>added compounds from agro</w:instrText>
      </w:r>
      <w:r w:rsidR="00E514BB">
        <w:rPr>
          <w:rFonts w:ascii="Cambria Math" w:hAnsi="Cambria Math" w:cs="Cambria Math"/>
          <w:sz w:val="24"/>
          <w:szCs w:val="24"/>
        </w:rPr>
        <w:instrText>‐</w:instrText>
      </w:r>
      <w:r w:rsidR="00E514BB">
        <w:rPr>
          <w:rFonts w:ascii="Verdana" w:hAnsi="Verdana"/>
          <w:sz w:val="24"/>
          <w:szCs w:val="24"/>
        </w:rPr>
        <w:instrText>industrial by</w:instrText>
      </w:r>
      <w:r w:rsidR="00E514BB">
        <w:rPr>
          <w:rFonts w:ascii="Cambria Math" w:hAnsi="Cambria Math" w:cs="Cambria Math"/>
          <w:sz w:val="24"/>
          <w:szCs w:val="24"/>
        </w:rPr>
        <w:instrText>‐</w:instrText>
      </w:r>
      <w:r w:rsidR="00E514BB">
        <w:rPr>
          <w:rFonts w:ascii="Verdana" w:hAnsi="Verdana"/>
          <w:sz w:val="24"/>
          <w:szCs w:val="24"/>
        </w:rPr>
        <w:instrText>products","type":"article-journal","volume":"2"},"uris":["http://www.mendeley.com/documents/?uuid=97b82928-28da-46ae-9765-2215a07b210e","http://www.mendeley.com/documents/?uuid=e20160ae-a49d-4c29-a37d-a36fc492cd66"]}],"mendeley":{"formattedCitation":"(Pietrangeli et al., 2025; Saini, Kumar, Panesar, &amp; Thakur, 2022)","plainTextFormattedCitation":"(Pietrangeli et al., 2025; Saini, Kumar, Panesar, &amp; Thakur, 2022)","previouslyFormattedCitation":"(Pietrangeli et al., 2025; Saini, Kumar, Panesar, &amp; Thakur, 2022)"},"properties":{"noteIndex":0},"schema":"https://github.com/citation-style-language/schema/raw/master/csl-citation.json"}</w:instrText>
      </w:r>
      <w:r w:rsidR="0068350C">
        <w:rPr>
          <w:rFonts w:ascii="Verdana" w:hAnsi="Verdana"/>
          <w:sz w:val="24"/>
          <w:szCs w:val="24"/>
        </w:rPr>
        <w:fldChar w:fldCharType="separate"/>
      </w:r>
      <w:r w:rsidRPr="000C39B8" w:rsidR="000C39B8">
        <w:rPr>
          <w:rFonts w:ascii="Verdana" w:hAnsi="Verdana"/>
          <w:noProof/>
          <w:sz w:val="24"/>
          <w:szCs w:val="24"/>
        </w:rPr>
        <w:t>(Pietrangeli et al., 2025; Saini, Kumar, Panesar, &amp; Thakur, 2022)</w:t>
      </w:r>
      <w:r w:rsidR="0068350C">
        <w:rPr>
          <w:rFonts w:ascii="Verdana" w:hAnsi="Verdana"/>
          <w:sz w:val="24"/>
          <w:szCs w:val="24"/>
        </w:rPr>
        <w:fldChar w:fldCharType="end"/>
      </w:r>
      <w:r w:rsidRPr="00DE3903">
        <w:rPr>
          <w:rFonts w:ascii="Verdana" w:hAnsi="Verdana"/>
          <w:sz w:val="24"/>
          <w:szCs w:val="24"/>
        </w:rPr>
        <w:t>. Estas ondas crean el fenómeno de cavitación, que resulta de aumentos y disminuciones alternas de presión. La cavitación provoca la generación y posterior ruptura de burbujas, convirtiendo la energía cinética en energía térmica, rompiendo así las paredes celulares y aumentando la disponibilidad de analitos. Utiliza la cavitación inducida por ultrasonido para romper las paredes celulares, lo que mejora la liberación de compuestos bioactivos, opera eficientemente a temperaturas más bajas y ofrece una alternativa ecológica, especialmente para compuestos fenólicos</w:t>
      </w:r>
      <w:r w:rsidR="0068350C">
        <w:rPr>
          <w:rFonts w:ascii="Verdana" w:hAnsi="Verdana"/>
          <w:sz w:val="24"/>
          <w:szCs w:val="24"/>
        </w:rPr>
        <w:t xml:space="preserve"> </w:t>
      </w:r>
      <w:r w:rsidR="0068350C">
        <w:rPr>
          <w:rFonts w:ascii="Verdana" w:hAnsi="Verdana"/>
          <w:sz w:val="24"/>
          <w:szCs w:val="24"/>
        </w:rPr>
        <w:fldChar w:fldCharType="begin" w:fldLock="1"/>
      </w:r>
      <w:r w:rsidR="00E514BB">
        <w:rPr>
          <w:rFonts w:ascii="Verdana" w:hAnsi="Verdana"/>
          <w:sz w:val="24"/>
          <w:szCs w:val="24"/>
        </w:rPr>
        <w:instrText>ADDIN CSL_CITATION {"citationItems":[{"id":"ITEM-1","itemData":{"DOI":"10.1080/10408347.2024.2366939","ISSN":"1040-8347","author":[{"dropping-particle":"","family":"Hammood","given":"Nidhal Hatif","non-dropping-particle":"","parse-names":false,"suffix":""},{"dropping-particle":"","family":"Kadhim","given":"Fatimah Abdulwahhab","non-dropping-particle":"","parse-names":false,"suffix":""},{"dropping-particle":"","family":"Al-Gufaili","given":"Melath K","non-dropping-particle":"","parse-names":false,"suffix":""},{"dropping-particle":"","family":"Azooz","given":"Ebaa Adnan","non-dropping-particle":"","parse-names":false,"suffix":""},{"dropping-particle":"","family":"Snigur","given":"Denys","non-dropping-particle":"","parse-names":false,"suffix":""}],"container-title":"Critical Reviews in Analytical Chemistry","id":"ITEM-1","issued":{"date-parts":[["2024","7"]]},"page":"1-14","title":"A Comparative Review of Solidified Floating Organic Drop Microextraction Methods for Metal Separation: recent Developments, Enhanced co-Factors, Challenges, and Environmental Assessment","type":"article-journal"},"uris":["http://www.mendeley.com/documents/?uuid=80260ea8-4b9c-4db8-842d-d39dcf9e08df","http://www.mendeley.com/documents/?uuid=b9ed224a-53d3-440f-8654-b8a0f3bb325a"]},{"id":"ITEM-2","itemData":{"DOI":"10.1016/j.foodchem.2024.138971","ISSN":"03088146","author":[{"dropping-particle":"","family":"Huang","given":"Hao","non-dropping-particle":"","parse-names":false,"suffix":""},{"dropping-particle":"","family":"Guo","given":"Shengrong","non-dropping-particle":"","parse-names":false,"suffix":""},{"dropping-particle":"","family":"Xu","given":"Yanqun","non-dropping-particle":"","parse-names":false,"suffix":""},{"dropping-particle":"","family":"Ettoumi","given":"Fatima-ezzahra","non-dropping-particle":"","parse-names":false,"suffix":""},{"dropping-particle":"","family":"Fang","given":"Jie","non-dropping-particle":"","parse-names":false,"suffix":""},{"dropping-particle":"","family":"Yan","given":"Xiaowei","non-dropping-particle":"","parse-names":false,"suffix":""},{"dropping-particle":"","family":"Xie","given":"Zhangfu","non-dropping-particle":"","parse-names":false,"suffix":""},{"dropping-particle":"","family":"Luo","given":"Zisheng","non-dropping-particle":"","parse-names":false,"suffix":""},{"dropping-particle":"","family":"Cheng","given":"Kejun","non-dropping-particle":"","parse-names":false,"suffix":""}],"container-title":"Food Chemistry","id":"ITEM-2","issued":{"date-parts":[["2024","7"]]},"page":"138971","title":"Valorization and protection of anthocyanins from strawberries (Fragaria×ananassa Duch.) by acidified natural deep eutectic solvent based on intermolecular interaction","type":"article-journal","volume":"447"},"uris":["http://www.mendeley.com/documents/?uuid=c1967956-5f07-41cd-9d9a-c53ed3c87c91","http://www.mendeley.com/documents/?uuid=74b9e64e-63d7-4994-bee0-c2572131eb31"]},{"id":"ITEM-3","itemData":{"DOI":"10.1016/j.scp.2023.101044","ISSN":"23525541","author":[{"dropping-particle":"","family":"Souza Ribeiro","given":"Maurício M.","non-dropping-particle":"de","parse-names":false,"suffix":""},{"dropping-particle":"","family":"Viganó","given":"Juliane","non-dropping-particle":"","parse-names":false,"suffix":""},{"dropping-particle":"","family":"Novais","given":"Nathália Stahl","non-dropping-particle":"de","parse-names":false,"suffix":""},{"dropping-particle":"","family":"Souza Mesquita","given":"Leonardo M.","non-dropping-particle":"de","parse-names":false,"suffix":""},{"dropping-particle":"","family":"Kamikawachi","given":"Renan Canute","non-dropping-particle":"","parse-names":false,"suffix":""},{"dropping-particle":"","family":"Vilegas","given":"Wagner","non-dropping-particle":"","parse-names":false,"suffix":""},{"dropping-particle":"","family":"Lopes","given":"Patricia Santos","non-dropping-particle":"","parse-names":false,"suffix":""},{"dropping-particle":"","family":"Soares da Silva","given":"Camila","non-dropping-particle":"","parse-names":false,"suffix":""},{"dropping-particle":"","family":"Rostagno","given":"Maurício Ariel","non-dropping-particle":"","parse-names":false,"suffix":""},{"dropping-particle":"","family":"Veggi","given":"Priscila Carvalho","non-dropping-particle":"","parse-names":false,"suffix":""}],"container-title":"Sustainable Chemistry and Pharmacy","id":"ITEM-3","issued":{"date-parts":[["2023","6"]]},"page":"101044","title":"The effect of ultrasound on improving the extraction of tannins from the Stryphnodendron adstringens bark","type":"article-journal","volume":"33"},"uris":["http://www.mendeley.com/documents/?uuid=bf2d6d06-fd07-4e9d-b84d-c7561ae26280","http://www.mendeley.com/documents/?uuid=3c65dc5e-bcd9-4134-b5c0-b572a66083eb"]},{"id":"ITEM-4","itemData":{"DOI":"10.1016/j.sampre.2025.100166","ISSN":"27725820","author":[{"dropping-particle":"","family":"Pietrangeli","given":"G.","non-dropping-particle":"","parse-names":false,"suffix":""},{"dropping-particle":"","family":"Posta","given":"S.","non-dropping-particle":"Della","parse-names":false,"suffix":""},{"dropping-particle":"","family":"D'Alessandro","given":"E.","non-dropping-particle":"","parse-names":false,"suffix":""},{"dropping-particle":"","family":"Giannitelli","given":"S.M.","non-dropping-particle":"","parse-names":false,"suffix":""},{"dropping-particle":"","family":"Trombetta","given":"M.","non-dropping-particle":"","parse-names":false,"suffix":""},{"dropping-particle":"","family":"Maggi","given":"C.","non-dropping-particle":"","parse-names":false,"suffix":""},{"dropping-particle":"","family":"Gara","given":"L.","non-dropping-particle":"De","parse-names":false,"suffix":""},{"dropping-particle":"","family":"Fanali","given":"C.","non-dropping-particle":"","parse-names":false,"suffix":""}],"container-title":"Advances in Sample Preparation","id":"ITEM-4","issued":{"date-parts":[["2025","2"]]},"page":"100166","title":"Sustainable Supramolecular Deep Eutectic Solvents based extraction for bioactive phenolic compounds recovery from olive pomace","type":"article-journal","volume":"13"},"uris":["http://www.mendeley.com/documents/?uuid=678beea1-f773-4379-8378-c18d8a451706","http://www.mendeley.com/documents/?uuid=2183d0a5-7c24-43d2-b8e7-1aae74299d53"]}],"mendeley":{"formattedCitation":"(de Souza Ribeiro et al., 2023; Hammood, Kadhim, Al-Gufaili, Azooz, &amp; Snigur, 2024; Huang et al., 2024; Pietrangeli et al., 2025)","plainTextFormattedCitation":"(de Souza Ribeiro et al., 2023; Hammood, Kadhim, Al-Gufaili, Azooz, &amp; Snigur, 2024; Huang et al., 2024; Pietrangeli et al., 2025)","previouslyFormattedCitation":"(de Souza Ribeiro et al., 2023; Hammood, Kadhim, Al-Gufaili, Azooz, &amp; Snigur, 2024; Huang et al., 2024; Pietrangeli et al., 2025)"},"properties":{"noteIndex":0},"schema":"https://github.com/citation-style-language/schema/raw/master/csl-citation.json"}</w:instrText>
      </w:r>
      <w:r w:rsidR="0068350C">
        <w:rPr>
          <w:rFonts w:ascii="Verdana" w:hAnsi="Verdana"/>
          <w:sz w:val="24"/>
          <w:szCs w:val="24"/>
        </w:rPr>
        <w:fldChar w:fldCharType="separate"/>
      </w:r>
      <w:r w:rsidRPr="000C39B8" w:rsidR="000C39B8">
        <w:rPr>
          <w:rFonts w:ascii="Verdana" w:hAnsi="Verdana"/>
          <w:noProof/>
          <w:sz w:val="24"/>
          <w:szCs w:val="24"/>
        </w:rPr>
        <w:t>(de Souza Ribeiro et al., 2023; Hammood, Kadhim, Al-Gufaili, Azooz, &amp; Snigur, 2024; Huang et al., 2024; Pietrangeli et al., 2025)</w:t>
      </w:r>
      <w:r w:rsidR="0068350C">
        <w:rPr>
          <w:rFonts w:ascii="Verdana" w:hAnsi="Verdana"/>
          <w:sz w:val="24"/>
          <w:szCs w:val="24"/>
        </w:rPr>
        <w:fldChar w:fldCharType="end"/>
      </w:r>
      <w:r w:rsidRPr="00DE3903">
        <w:rPr>
          <w:rFonts w:ascii="Verdana" w:hAnsi="Verdana"/>
          <w:sz w:val="24"/>
          <w:szCs w:val="24"/>
        </w:rPr>
        <w:t>. La EAU ofrece numerosas ventajas, como la reducción del tiempo, la temperatura y el volumen de disolvente de la extracción, a la vez que aumenta el rendimiento de la extracción ciclo</w:t>
      </w:r>
      <w:r w:rsidR="0068350C">
        <w:rPr>
          <w:rFonts w:ascii="Verdana" w:hAnsi="Verdana"/>
          <w:sz w:val="24"/>
          <w:szCs w:val="24"/>
        </w:rPr>
        <w:t xml:space="preserve"> </w:t>
      </w:r>
      <w:r w:rsidR="0068350C">
        <w:rPr>
          <w:rFonts w:ascii="Verdana" w:hAnsi="Verdana"/>
          <w:sz w:val="24"/>
          <w:szCs w:val="24"/>
        </w:rPr>
        <w:fldChar w:fldCharType="begin" w:fldLock="1"/>
      </w:r>
      <w:r w:rsidR="00E514BB">
        <w:rPr>
          <w:rFonts w:ascii="Verdana" w:hAnsi="Verdana"/>
          <w:sz w:val="24"/>
          <w:szCs w:val="24"/>
        </w:rPr>
        <w:instrText>ADDIN CSL_CITATION {"citationItems":[{"id":"ITEM-1","itemData":{"DOI":"10.1016/j.foodchem.2025.142908","ISSN":"03088146","author":[{"dropping-particle":"","family":"Hou","given":"Mengyang","non-dropping-particle":"","parse-names":false,"suffix":""},{"dropping-particle":"","family":"Zhou","given":"Yujuan","non-dropping-particle":"","parse-names":false,"suffix":""},{"dropping-particle":"","family":"Lin","given":"Chengyuan","non-dropping-particle":"","parse-names":false,"suffix":""},{"dropping-particle":"","family":"Shi","given":"Jingchun","non-dropping-particle":"","parse-names":false,"suffix":""},{"dropping-particle":"","family":"Hou","given":"Huidan","non-dropping-particle":"","parse-names":false,"suffix":""},{"dropping-particle":"","family":"Ma","given":"Yanhua","non-dropping-particle":"","parse-names":false,"suffix":""},{"dropping-particle":"","family":"Zhu","given":"Lin","non-dropping-particle":"","parse-names":false,"suffix":""},{"dropping-particle":"","family":"Bian","given":"Zhaoxiang","non-dropping-particle":"","parse-names":false,"suffix":""}],"container-title":"Food Chemistry","id":"ITEM-1","issued":{"date-parts":[["2025","4"]]},"page":"142908","title":"Green valorization of Chaenomelis Fructus agro-industrial by-products as a source of phenolics: Ultrasound-assisted extraction, adsorptive enrichment and quality control","type":"article-journal","volume":"472"},"uris":["http://www.mendeley.com/documents/?uuid=7c060b78-9c5a-46d4-8445-1009553dad6b","http://www.mendeley.com/documents/?uuid=4faaa930-4668-4516-b556-5ab27d1fe04d"]},{"id":"ITEM-2","itemData":{"DOI":"10.55730/1300-011X.3179","ISSN":"1300-011X","author":[{"dropping-particle":"","family":"Liu","given":"Yumian","non-dropping-particle":"","parse-names":false,"suffix":""},{"dropping-particle":"","family":"Wang","given":"Zekun","non-dropping-particle":"","parse-names":false,"suffix":""}],"container-title":"Turkish Journal of Agriculture and Forestry","id":"ITEM-2","issue":"2","issued":{"date-parts":[["2024","4"]]},"page":"263-277","title":"Intelligent Food Packaging Design Based on Visual Communication and Multimedia Technology","type":"article-journal","volume":"48"},"uris":["http://www.mendeley.com/documents/?uuid=a91697e9-0d2b-3423-8456-7096c3d6dd57","http://www.mendeley.com/documents/?uuid=ab9a4b79-c72f-4001-897c-346cadaceb54"]},{"id":"ITEM-3","itemData":{"DOI":"10.1016/j.focha.2025.100949","ISSN":"2772753X","author":[{"dropping-particle":"","family":"Mareta","given":"Dea Tio","non-dropping-particle":"","parse-names":false,"suffix":""},{"dropping-particle":"","family":"Santoso","given":"Umar","non-dropping-particle":"","parse-names":false,"suffix":""},{"dropping-particle":"","family":"Supriyadi","given":"","non-dropping-particle":"","parse-names":false,"suffix":""},{"dropping-particle":"","family":"Setyaningsih","given":"Widiastuti","non-dropping-particle":"","parse-names":false,"suffix":""}],"container-title":"Food Chemistry Advances","id":"ITEM-3","issued":{"date-parts":[["2025","6"]]},"page":"100949","title":"Optimized ultrasound-assisted extraction for phenolic and antioxidant analysis in purple senggani (Melastoma malabathricum) flowers: Influence of developmental stages","type":"article-journal","volume":"7"},"uris":["http://www.mendeley.com/documents/?uuid=bb821c42-3e41-4c60-8542-9a52ea1b8192","http://www.mendeley.com/documents/?uuid=1b270b51-7ef8-4600-9064-785964ebcf8a"]}],"mendeley":{"formattedCitation":"(Hou et al., 2025; Yumian Liu &amp; Wang, 2024; Mareta, Santoso, Supriyadi, &amp; Setyaningsih, 2025)","plainTextFormattedCitation":"(Hou et al., 2025; Yumian Liu &amp; Wang, 2024; Mareta, Santoso, Supriyadi, &amp; Setyaningsih, 2025)","previouslyFormattedCitation":"(Hou et al., 2025; Yumian Liu &amp; Wang, 2024; Mareta, Santoso, Supriyadi, &amp; Setyaningsih, 2025)"},"properties":{"noteIndex":0},"schema":"https://github.com/citation-style-language/schema/raw/master/csl-citation.json"}</w:instrText>
      </w:r>
      <w:r w:rsidR="0068350C">
        <w:rPr>
          <w:rFonts w:ascii="Verdana" w:hAnsi="Verdana"/>
          <w:sz w:val="24"/>
          <w:szCs w:val="24"/>
        </w:rPr>
        <w:fldChar w:fldCharType="separate"/>
      </w:r>
      <w:r w:rsidRPr="000C39B8" w:rsidR="000C39B8">
        <w:rPr>
          <w:rFonts w:ascii="Verdana" w:hAnsi="Verdana"/>
          <w:noProof/>
          <w:sz w:val="24"/>
          <w:szCs w:val="24"/>
        </w:rPr>
        <w:t>(Hou et al., 2025; Yumian Liu &amp; Wang, 2024; Mareta, Santoso, Supriyadi, &amp; Setyaningsih, 2025)</w:t>
      </w:r>
      <w:r w:rsidR="0068350C">
        <w:rPr>
          <w:rFonts w:ascii="Verdana" w:hAnsi="Verdana"/>
          <w:sz w:val="24"/>
          <w:szCs w:val="24"/>
        </w:rPr>
        <w:fldChar w:fldCharType="end"/>
      </w:r>
      <w:r w:rsidRPr="00DE3903">
        <w:rPr>
          <w:rFonts w:ascii="Verdana" w:hAnsi="Verdana"/>
          <w:sz w:val="24"/>
          <w:szCs w:val="24"/>
        </w:rPr>
        <w:t>. La EAU es especialmente adecuada para aislar compuestos sensibles al calor y se considera una técnica ecológica gracias a su capacidad para vaporizar disolventes mediante la creación de burbujas inestables alrededor del tejido vegetal que rompen las paredes celulares. Si bien optimizar la eficiencia de la EAU es complejo y depende de varios parámetros, sigue siendo el método más eficaz para aplicaciones a gran escala gracias a su facilidad de uso y rentabilidad</w:t>
      </w:r>
      <w:r w:rsidR="0068350C">
        <w:rPr>
          <w:rFonts w:ascii="Verdana" w:hAnsi="Verdana"/>
          <w:sz w:val="24"/>
          <w:szCs w:val="24"/>
        </w:rPr>
        <w:t xml:space="preserve"> </w:t>
      </w:r>
      <w:r w:rsidR="0068350C">
        <w:rPr>
          <w:rFonts w:ascii="Verdana" w:hAnsi="Verdana"/>
          <w:sz w:val="24"/>
          <w:szCs w:val="24"/>
        </w:rPr>
        <w:fldChar w:fldCharType="begin" w:fldLock="1"/>
      </w:r>
      <w:r w:rsidR="000C39B8">
        <w:rPr>
          <w:rFonts w:ascii="Verdana" w:hAnsi="Verdana"/>
          <w:sz w:val="24"/>
          <w:szCs w:val="24"/>
        </w:rPr>
        <w:instrText>ADDIN CSL_CITATION {"citationItems":[{"id":"ITEM-1","itemData":{"DOI":"10.1016/j.foodchem.2025.142908","ISSN":"03088146","author":[{"dropping-particle":"","family":"Hou","given":"Mengyang","non-dropping-particle":"","parse-names":false,"suffix":""},{"dropping-particle":"","family":"Zhou","given":"Yujuan","non-dropping-particle":"","parse-names":false,"suffix":""},{"dropping-particle":"","family":"Lin","given":"Chengyuan","non-dropping-particle":"","parse-names":false,"suffix":""},{"dropping-particle":"","family":"Shi","given":"Jingchun","non-dropping-particle":"","parse-names":false,"suffix":""},{"dropping-particle":"","family":"Hou","given":"Huidan","non-dropping-particle":"","parse-names":false,"suffix":""},{"dropping-particle":"","family":"Ma","given":"Yanhua","non-dropping-particle":"","parse-names":false,"suffix":""},{"dropping-particle":"","family":"Zhu","given":"Lin","non-dropping-particle":"","parse-names":false,"suffix":""},{"dropping-particle":"","family":"Bian","given":"Zhaoxiang","non-dropping-particle":"","parse-names":false,"suffix":""}],"container-title":"Food Chemistry","id":"ITEM-1","issued":{"date-parts":[["2025","4"]]},"page":"142908","title":"Green valorization of Chaenomelis Fructus agro-industrial by-products as a source of phenolics: Ultrasound-assisted extraction, adsorptive enrichment and quality control","type":"article-journal","volume":"472"},"uris":["http://www.mendeley.com/documents/?uuid=4faaa930-4668-4516-b556-5ab27d1fe04d","http://www.mendeley.com/documents/?uuid=7c060b78-9c5a-46d4-8445-1009553dad6b"]},{"id":"ITEM-2","itemData":{"DOI":"10.1016/j.sampre.2025.100166","ISSN":"27725820","author":[{"dropping-particle":"","family":"Pietrangeli","given":"G.","non-dropping-particle":"","parse-names":false,"suffix":""},{"dropping-particle":"","family":"Posta","given":"S.","non-dropping-particle":"Della","parse-names":false,"suffix":""},{"dropping-particle":"","family":"D'Alessandro","given":"E.","non-dropping-particle":"","parse-names":false,"suffix":""},{"dropping-particle":"","family":"Giannitelli","given":"S.M.","non-dropping-particle":"","parse-names":false,"suffix":""},{"dropping-particle":"","family":"Trombetta","given":"M.","non-dropping-particle":"","parse-names":false,"suffix":""},{"dropping-particle":"","family":"Maggi","given":"C.","non-dropping-particle":"","parse-names":false,"suffix":""},{"dropping-particle":"","family":"Gara","given":"L.","non-dropping-particle":"De","parse-names":false,"suffix":""},{"dropping-particle":"","family":"Fanali","given":"C.","non-dropping-particle":"","parse-names":false,"suffix":""}],"container-title":"Advances in Sample Preparation","id":"ITEM-2","issued":{"date-parts":[["2025","2"]]},"page":"100166","title":"Sustainable Supramolecular Deep Eutectic Solvents based extraction for bioactive phenolic compounds recovery from olive pomace","type":"article-journal","volume":"13"},"uris":["http://www.mendeley.com/documents/?uuid=678beea1-f773-4379-8378-c18d8a451706","http://www.mendeley.com/documents/?uuid=2183d0a5-7c24-43d2-b8e7-1aae74299d53","http://www.mendeley.com/documents/?uuid=2592e643-3a26-4915-8717-c47659d8478a"]}],"mendeley":{"formattedCitation":"(Hou et al., 2025; Pietrangeli et al., 2025)","plainTextFormattedCitation":"(Hou et al., 2025; Pietrangeli et al., 2025)","previouslyFormattedCitation":"(Hou et al., 2025; Pietrangeli et al., 2025)"},"properties":{"noteIndex":0},"schema":"https://github.com/citation-style-language/schema/raw/master/csl-citation.json"}</w:instrText>
      </w:r>
      <w:r w:rsidR="0068350C">
        <w:rPr>
          <w:rFonts w:ascii="Verdana" w:hAnsi="Verdana"/>
          <w:sz w:val="24"/>
          <w:szCs w:val="24"/>
        </w:rPr>
        <w:fldChar w:fldCharType="separate"/>
      </w:r>
      <w:r w:rsidRPr="0068350C" w:rsidR="0068350C">
        <w:rPr>
          <w:rFonts w:ascii="Verdana" w:hAnsi="Verdana"/>
          <w:noProof/>
          <w:sz w:val="24"/>
          <w:szCs w:val="24"/>
        </w:rPr>
        <w:t>(Hou et al., 2025; Pietrangeli et al., 2025)</w:t>
      </w:r>
      <w:r w:rsidR="0068350C">
        <w:rPr>
          <w:rFonts w:ascii="Verdana" w:hAnsi="Verdana"/>
          <w:sz w:val="24"/>
          <w:szCs w:val="24"/>
        </w:rPr>
        <w:fldChar w:fldCharType="end"/>
      </w:r>
      <w:r w:rsidRPr="00DE3903">
        <w:rPr>
          <w:rFonts w:ascii="Verdana" w:hAnsi="Verdana"/>
          <w:sz w:val="24"/>
          <w:szCs w:val="24"/>
        </w:rPr>
        <w:t>. Por lo anterior, en este estudio se aprovechó el pericarpio de mangostino (</w:t>
      </w:r>
      <w:proofErr w:type="spellStart"/>
      <w:r w:rsidRPr="0068350C">
        <w:rPr>
          <w:rFonts w:ascii="Verdana" w:hAnsi="Verdana"/>
          <w:i/>
          <w:iCs/>
          <w:sz w:val="24"/>
          <w:szCs w:val="24"/>
        </w:rPr>
        <w:t>Garciana</w:t>
      </w:r>
      <w:proofErr w:type="spellEnd"/>
      <w:r w:rsidRPr="0068350C">
        <w:rPr>
          <w:rFonts w:ascii="Verdana" w:hAnsi="Verdana"/>
          <w:i/>
          <w:iCs/>
          <w:sz w:val="24"/>
          <w:szCs w:val="24"/>
        </w:rPr>
        <w:t xml:space="preserve"> </w:t>
      </w:r>
      <w:proofErr w:type="spellStart"/>
      <w:r w:rsidRPr="0068350C">
        <w:rPr>
          <w:rFonts w:ascii="Verdana" w:hAnsi="Verdana"/>
          <w:i/>
          <w:iCs/>
          <w:sz w:val="24"/>
          <w:szCs w:val="24"/>
        </w:rPr>
        <w:t>mangostana</w:t>
      </w:r>
      <w:proofErr w:type="spellEnd"/>
      <w:r w:rsidRPr="00DE3903">
        <w:rPr>
          <w:rFonts w:ascii="Verdana" w:hAnsi="Verdana"/>
          <w:sz w:val="24"/>
          <w:szCs w:val="24"/>
        </w:rPr>
        <w:t xml:space="preserve">) para la obtención de compuestos fenólicos a través del uso de extracción asistida por ultrasonido (EAU) y diferentes solventes para verificar su potencial como fitoquímico en la industria alimentaria y </w:t>
      </w:r>
      <w:proofErr w:type="spellStart"/>
      <w:r w:rsidRPr="00DE3903">
        <w:rPr>
          <w:rFonts w:ascii="Verdana" w:hAnsi="Verdana"/>
          <w:sz w:val="24"/>
          <w:szCs w:val="24"/>
        </w:rPr>
        <w:t>farmaceútica</w:t>
      </w:r>
      <w:proofErr w:type="spellEnd"/>
      <w:r w:rsidRPr="00DE3903">
        <w:rPr>
          <w:rFonts w:ascii="Verdana" w:hAnsi="Verdana"/>
          <w:sz w:val="24"/>
          <w:szCs w:val="24"/>
        </w:rPr>
        <w:t>.</w:t>
      </w:r>
    </w:p>
    <w:p w:rsidRPr="00D77359" w:rsidR="00D77359" w:rsidP="00D77359" w:rsidRDefault="00D77359" w14:paraId="5A7E97B0" w14:textId="654EB06F">
      <w:pPr>
        <w:jc w:val="both"/>
        <w:rPr>
          <w:rFonts w:ascii="Verdana" w:hAnsi="Verdana"/>
          <w:sz w:val="24"/>
          <w:szCs w:val="24"/>
        </w:rPr>
      </w:pPr>
      <w:r w:rsidRPr="00D77359">
        <w:rPr>
          <w:rFonts w:ascii="Verdana" w:hAnsi="Verdana"/>
          <w:sz w:val="24"/>
          <w:szCs w:val="24"/>
        </w:rPr>
        <w:t>En este contexto, las técnicas espectroscópicas resultan de gran utilidad para realizar una cuantificación e identificación preliminar de metabolitos. No obstante, la cromatografía líquida de ultra alta eficiencia acoplada a espectrometría de masas (UPLC-MS) ha abierto nuevas posibilidades para la caracterización estructural de compuestos de interés</w:t>
      </w:r>
      <w:r w:rsidR="000C39B8">
        <w:rPr>
          <w:rFonts w:ascii="Verdana" w:hAnsi="Verdana"/>
          <w:sz w:val="24"/>
          <w:szCs w:val="24"/>
        </w:rPr>
        <w:fldChar w:fldCharType="begin" w:fldLock="1"/>
      </w:r>
      <w:r w:rsidR="00E514BB">
        <w:rPr>
          <w:rFonts w:ascii="Verdana" w:hAnsi="Verdana"/>
          <w:sz w:val="24"/>
          <w:szCs w:val="24"/>
        </w:rPr>
        <w:instrText>ADDIN CSL_CITATION {"citationItems":[{"id":"ITEM-1","itemData":{"DOI":"10.1038/s41598-017-15724-8","ISSN":"20452322","PMID":"29158537","abstract":"The rewards of using plants and plant metabolites over other biological methods for nanoparticle synthesis have fascinated researchers to investigate mechanisms of metal ions uptake and bio-reduction by plants. Here, green chemistry were employed for the synthesis of silver nanoparticles (AgNPs) using leaf extracts of Ocimum Sanctum (Tulsi) and its derivative quercetin (flavonoid present in Tulsi) separately as precursors to investigate the role of biomolecules present in Tulsi in the formation of AgNPs from cationic silver under different physicochemical conditions such as pH, temperature, reaction time and reactants concentration. The size, shape, morphology, and stability of resultant AgNPs were investigated by optical spectroscopy (absorption, photoluminescence (PL), PL-lifetime and Fourier transform infrared), X-ray diffraction (XRD) analysis, and transmission electron microscopy (TEM). The enhanced antibacterial activity of AgNPs against E-Coli gram-negative bacterial strains was analyzed based on the zone of inhibition and minimal inhibitory concentration (MIC) indices. The results of different characterization techniques showed that AgNPs synthesized using both leaf extract and neat quercetin separately followed the same optical, morphological, and antibacterial characteristics, demonstrating that biomolecules (quercetin) present in Tulsi are mainly responsible for the reduction of metal ions to metal nanoparticles.","author":[{"dropping-particle":"","family":"Jain","given":"Siddhant","non-dropping-particle":"","parse-names":false,"suffix":""},{"dropping-particle":"","family":"Mehata","given":"Mohan Singh","non-dropping-particle":"","parse-names":false,"suffix":""}],"container-title":"Scientific Reports","id":"ITEM-1","issue":"1","issued":{"date-parts":[["2017"]]},"page":"1-13","publisher":"Springer US","title":"Medicinal Plant Leaf Extract and Pure Flavonoid Mediated Green Synthesis of Silver Nanoparticles and their Enhanced Antibacterial Property","type":"article-journal","volume":"7"},"uris":["http://www.mendeley.com/documents/?uuid=cdc2505a-81a1-4a12-b623-0293997ee6c7"]}],"mendeley":{"formattedCitation":"(Jain &amp; Mehata, 2017)","plainTextFormattedCitation":"(Jain &amp; Mehata, 2017)","previouslyFormattedCitation":"(Jain &amp; Mehata, 2017)"},"properties":{"noteIndex":0},"schema":"https://github.com/citation-style-language/schema/raw/master/csl-citation.json"}</w:instrText>
      </w:r>
      <w:r w:rsidR="000C39B8">
        <w:rPr>
          <w:rFonts w:ascii="Verdana" w:hAnsi="Verdana"/>
          <w:sz w:val="24"/>
          <w:szCs w:val="24"/>
        </w:rPr>
        <w:fldChar w:fldCharType="separate"/>
      </w:r>
      <w:r w:rsidRPr="000C39B8" w:rsidR="000C39B8">
        <w:rPr>
          <w:rFonts w:ascii="Verdana" w:hAnsi="Verdana"/>
          <w:noProof/>
          <w:sz w:val="24"/>
          <w:szCs w:val="24"/>
        </w:rPr>
        <w:t>(Jain &amp; Mehata, 2017)</w:t>
      </w:r>
      <w:r w:rsidR="000C39B8">
        <w:rPr>
          <w:rFonts w:ascii="Verdana" w:hAnsi="Verdana"/>
          <w:sz w:val="24"/>
          <w:szCs w:val="24"/>
        </w:rPr>
        <w:fldChar w:fldCharType="end"/>
      </w:r>
      <w:r w:rsidR="009B6A33">
        <w:rPr>
          <w:rFonts w:ascii="Verdana" w:hAnsi="Verdana"/>
          <w:sz w:val="24"/>
          <w:szCs w:val="24"/>
        </w:rPr>
        <w:t>.</w:t>
      </w:r>
      <w:r w:rsidRPr="00D77359">
        <w:rPr>
          <w:rFonts w:ascii="Verdana" w:hAnsi="Verdana"/>
          <w:sz w:val="24"/>
          <w:szCs w:val="24"/>
        </w:rPr>
        <w:t xml:space="preserve"> Asimismo, la cromatografía líquida acoplada a espectrometría de masas con analizador de tiempo de vuelo (LC-TOF-MS) permite identificar compuestos desconocidos en picos cromatográficos gracias a su alta </w:t>
      </w:r>
      <w:r w:rsidRPr="00D77359">
        <w:rPr>
          <w:rFonts w:ascii="Verdana" w:hAnsi="Verdana"/>
          <w:sz w:val="24"/>
          <w:szCs w:val="24"/>
        </w:rPr>
        <w:lastRenderedPageBreak/>
        <w:t>resolución y exactitud de masa</w:t>
      </w:r>
      <w:r w:rsidR="00E514BB">
        <w:rPr>
          <w:rFonts w:ascii="Verdana" w:hAnsi="Verdana"/>
          <w:sz w:val="24"/>
          <w:szCs w:val="24"/>
        </w:rPr>
        <w:fldChar w:fldCharType="begin" w:fldLock="1"/>
      </w:r>
      <w:r w:rsidR="00E514BB">
        <w:rPr>
          <w:rFonts w:ascii="Verdana" w:hAnsi="Verdana"/>
          <w:sz w:val="24"/>
          <w:szCs w:val="24"/>
        </w:rPr>
        <w:instrText>ADDIN CSL_CITATION {"citationItems":[{"id":"ITEM-1","itemData":{"DOI":"10.1016/j.jfca.2021.104286","ISSN":"08891575","abstract":"Pistacia lentiscus L. is a shrub of the Anacardiaceae family whose fruits are used in Tunisian and Algerian diets. The phenolic composition at 5 different physiological stages of the fruit was investigated using two different targeted methodologies: ultra-high-performance liquid chromatography–UV/visible detection (UHPLC-UV/vis) for anthocyanins and UHPLC coupled with tandem mass spectrometry (UHPLC-MS/MS) for the other polyphenols. For the specific analysis of anthocyanins, compound identification was confirmed by UHPLC-MS/MS and LC-NMR analysis. This study revealed the identification of 30 phenolic compounds including 9 anthocyanins, 7 flavanols, 7 flavonols, 2 phenolic acids, 1 stilbene, 2 flavanones, 1 flavanonol and 1 dihydrochalcone. Quantification showed significant qualitative and quantitative variation in phenolic content during the ripening of P. lentiscus fruits, flavonols being the main compounds for the unripe berries and anthocyanins for ripe berries. To the best of our knowledge, our study reports the presence of piceid and protocatechuic acid in P. lentiscus L. fruits, as well as several anthocyanins in Pistacia, for the first time. The results indicate potential applications of P. lentiscus L. fruits as a source of phenolic compounds to be used as nutraceuticals and as food colorants.","author":[{"dropping-particle":"","family":"Aissat","given":"Aghiles Karim","non-dropping-particle":"","parse-names":false,"suffix":""},{"dropping-particle":"","family":"Chaher-Bazizi","given":"Nassima","non-dropping-particle":"","parse-names":false,"suffix":""},{"dropping-particle":"","family":"Richard","given":"Tristan","non-dropping-particle":"","parse-names":false,"suffix":""},{"dropping-particle":"","family":"Kilani-Atmani","given":"Dina","non-dropping-particle":"","parse-names":false,"suffix":""},{"dropping-particle":"","family":"Pedrot","given":"Eric","non-dropping-particle":"","parse-names":false,"suffix":""},{"dropping-particle":"","family":"Renouf","given":"Elodie","non-dropping-particle":"","parse-names":false,"suffix":""},{"dropping-particle":"","family":"Atmani","given":"Djebbar","non-dropping-particle":"","parse-names":false,"suffix":""},{"dropping-particle":"","family":"Valls Fonayet","given":"Josep","non-dropping-particle":"","parse-names":false,"suffix":""}],"container-title":"Journal of Food Composition and Analysis","id":"ITEM-1","issued":{"date-parts":[["2022"]]},"title":"Analysis of individual anthocyanins, flavanols, flavonols and other polyphenols in Pistacia lentiscus L. fruits during ripening","type":"article-journal","volume":"106"},"uris":["http://www.mendeley.com/documents/?uuid=9ae0cf2e-4c0f-446f-a0a2-260c08ba2b02"]},{"id":"ITEM-2","itemData":{"DOI":"10.1016/j.foodchem.2012.02.094","ISSN":"03088146","author":[{"dropping-particle":"","family":"Wittenauer","given":"Judith","non-dropping-particle":"","parse-names":false,"suffix":""},{"dropping-particle":"","family":"Falk","given":"Susanne","non-dropping-particle":"","parse-names":false,"suffix":""},{"dropping-particle":"","family":"Schweiggert-Weisz","given":"Ute","non-dropping-particle":"","parse-names":false,"suffix":""},{"dropping-particle":"","family":"Carle","given":"Reinhold","non-dropping-particle":"","parse-names":false,"suffix":""}],"container-title":"Food Chemistry","id":"ITEM-2","issue":"1","issued":{"date-parts":[["2012","9"]]},"page":"445-452","title":"Characterisation and quantification of xanthones from the aril and pericarp of mangosteens (Garcinia mangostana L.) and a mangosteen containing functional beverage by HPLC–DAD–MSn","type":"article-journal","volume":"134"},"uris":["http://www.mendeley.com/documents/?uuid=09df7b6f-498b-4f1d-8e36-d4553512ce8f"]}],"mendeley":{"formattedCitation":"(Aissat et al., 2022; Wittenauer et al., 2012)","plainTextFormattedCitation":"(Aissat et al., 2022; Wittenauer et al., 2012)","previouslyFormattedCitation":"(Aissat et al., 2022; Wittenauer et al., 2012)"},"properties":{"noteIndex":0},"schema":"https://github.com/citation-style-language/schema/raw/master/csl-citation.json"}</w:instrText>
      </w:r>
      <w:r w:rsidR="00E514BB">
        <w:rPr>
          <w:rFonts w:ascii="Verdana" w:hAnsi="Verdana"/>
          <w:sz w:val="24"/>
          <w:szCs w:val="24"/>
        </w:rPr>
        <w:fldChar w:fldCharType="separate"/>
      </w:r>
      <w:r w:rsidRPr="00E514BB" w:rsidR="00E514BB">
        <w:rPr>
          <w:rFonts w:ascii="Verdana" w:hAnsi="Verdana"/>
          <w:noProof/>
          <w:sz w:val="24"/>
          <w:szCs w:val="24"/>
        </w:rPr>
        <w:t>(</w:t>
      </w:r>
      <w:proofErr w:type="spellStart"/>
      <w:r w:rsidRPr="00E514BB" w:rsidR="00E514BB">
        <w:rPr>
          <w:rFonts w:ascii="Verdana" w:hAnsi="Verdana"/>
          <w:noProof/>
          <w:sz w:val="24"/>
          <w:szCs w:val="24"/>
        </w:rPr>
        <w:t>Aissat</w:t>
      </w:r>
      <w:proofErr w:type="spellEnd"/>
      <w:r w:rsidRPr="00E514BB" w:rsidR="00E514BB">
        <w:rPr>
          <w:rFonts w:ascii="Verdana" w:hAnsi="Verdana"/>
          <w:noProof/>
          <w:sz w:val="24"/>
          <w:szCs w:val="24"/>
        </w:rPr>
        <w:t xml:space="preserve"> et al., 2022; Wittenauer et al., 2012)</w:t>
      </w:r>
      <w:r w:rsidR="00E514BB">
        <w:rPr>
          <w:rFonts w:ascii="Verdana" w:hAnsi="Verdana"/>
          <w:sz w:val="24"/>
          <w:szCs w:val="24"/>
        </w:rPr>
        <w:fldChar w:fldCharType="end"/>
      </w:r>
      <w:r w:rsidRPr="00D77359">
        <w:rPr>
          <w:rFonts w:ascii="Verdana" w:hAnsi="Verdana"/>
          <w:sz w:val="24"/>
          <w:szCs w:val="24"/>
        </w:rPr>
        <w:t>. De manera complementaria, la combinación de detectores de arreglo de diodos (UV-Vis DAD) con espectrometría de masas acoplada a HPLC ha demostrado ser una de las aproximaciones más robustas para la cuantificación e identificación estructural de compuestos fenólicos en diversas matrices vegetales.</w:t>
      </w:r>
      <w:r w:rsidR="002C410F">
        <w:rPr>
          <w:rFonts w:ascii="Verdana" w:hAnsi="Verdana"/>
          <w:sz w:val="24"/>
          <w:szCs w:val="24"/>
        </w:rPr>
        <w:t xml:space="preserve"> </w:t>
      </w:r>
      <w:r w:rsidRPr="00D77359">
        <w:rPr>
          <w:rFonts w:ascii="Verdana" w:hAnsi="Verdana"/>
          <w:sz w:val="24"/>
          <w:szCs w:val="24"/>
        </w:rPr>
        <w:t>En este sentido, el presente </w:t>
      </w:r>
      <w:proofErr w:type="spellStart"/>
      <w:r w:rsidRPr="00D77359">
        <w:rPr>
          <w:rFonts w:ascii="Verdana" w:hAnsi="Verdana"/>
          <w:i/>
          <w:iCs/>
          <w:sz w:val="24"/>
          <w:szCs w:val="24"/>
        </w:rPr>
        <w:t>working</w:t>
      </w:r>
      <w:proofErr w:type="spellEnd"/>
      <w:r w:rsidRPr="00D77359">
        <w:rPr>
          <w:rFonts w:ascii="Verdana" w:hAnsi="Verdana"/>
          <w:i/>
          <w:iCs/>
          <w:sz w:val="24"/>
          <w:szCs w:val="24"/>
        </w:rPr>
        <w:t xml:space="preserve"> </w:t>
      </w:r>
      <w:proofErr w:type="spellStart"/>
      <w:r w:rsidRPr="00D77359">
        <w:rPr>
          <w:rFonts w:ascii="Verdana" w:hAnsi="Verdana"/>
          <w:i/>
          <w:iCs/>
          <w:sz w:val="24"/>
          <w:szCs w:val="24"/>
        </w:rPr>
        <w:t>paper</w:t>
      </w:r>
      <w:proofErr w:type="spellEnd"/>
      <w:r w:rsidRPr="00D77359">
        <w:rPr>
          <w:rFonts w:ascii="Verdana" w:hAnsi="Verdana"/>
          <w:sz w:val="24"/>
          <w:szCs w:val="24"/>
        </w:rPr>
        <w:t> tiene como propósito explorar preliminarmente la extracción y caracterización de compuestos fenólicos presentes en el pericarpio de mangostino (</w:t>
      </w:r>
      <w:proofErr w:type="spellStart"/>
      <w:r w:rsidRPr="00D77359">
        <w:rPr>
          <w:rFonts w:ascii="Verdana" w:hAnsi="Verdana"/>
          <w:i/>
          <w:iCs/>
          <w:sz w:val="24"/>
          <w:szCs w:val="24"/>
        </w:rPr>
        <w:t>Garcinia</w:t>
      </w:r>
      <w:proofErr w:type="spellEnd"/>
      <w:r w:rsidRPr="00D77359">
        <w:rPr>
          <w:rFonts w:ascii="Verdana" w:hAnsi="Verdana"/>
          <w:i/>
          <w:iCs/>
          <w:sz w:val="24"/>
          <w:szCs w:val="24"/>
        </w:rPr>
        <w:t xml:space="preserve"> </w:t>
      </w:r>
      <w:proofErr w:type="spellStart"/>
      <w:r w:rsidRPr="00D77359">
        <w:rPr>
          <w:rFonts w:ascii="Verdana" w:hAnsi="Verdana"/>
          <w:i/>
          <w:iCs/>
          <w:sz w:val="24"/>
          <w:szCs w:val="24"/>
        </w:rPr>
        <w:t>mangostana</w:t>
      </w:r>
      <w:proofErr w:type="spellEnd"/>
      <w:r w:rsidRPr="00D77359">
        <w:rPr>
          <w:rFonts w:ascii="Verdana" w:hAnsi="Verdana"/>
          <w:sz w:val="24"/>
          <w:szCs w:val="24"/>
        </w:rPr>
        <w:t>), mediante la aplicación de técnicas espectroscópicas y cromatográficas avanzadas.</w:t>
      </w:r>
    </w:p>
    <w:p w:rsidR="0068350C" w:rsidP="00E71CFF" w:rsidRDefault="0068350C" w14:paraId="110A6E70" w14:textId="77777777">
      <w:pPr>
        <w:jc w:val="both"/>
        <w:rPr>
          <w:rFonts w:ascii="Verdana" w:hAnsi="Verdana"/>
          <w:sz w:val="24"/>
          <w:szCs w:val="24"/>
        </w:rPr>
      </w:pPr>
    </w:p>
    <w:p w:rsidR="00E71CFF" w:rsidP="007A61C1" w:rsidRDefault="00E71CFF" w14:paraId="3F2346DE" w14:textId="6902BCBC">
      <w:pPr>
        <w:rPr>
          <w:rFonts w:ascii="Verdana" w:hAnsi="Verdana"/>
          <w:b/>
          <w:sz w:val="24"/>
          <w:szCs w:val="24"/>
        </w:rPr>
      </w:pPr>
      <w:r w:rsidRPr="00E71CFF">
        <w:rPr>
          <w:rFonts w:ascii="Verdana" w:hAnsi="Verdana"/>
          <w:b/>
          <w:sz w:val="24"/>
          <w:szCs w:val="24"/>
        </w:rPr>
        <w:t>METODOLOGÍA.</w:t>
      </w:r>
    </w:p>
    <w:p w:rsidRPr="00A722C8" w:rsidR="00A722C8" w:rsidP="00A722C8" w:rsidRDefault="00A722C8" w14:paraId="747990F0" w14:textId="76A1FC87">
      <w:pPr>
        <w:jc w:val="both"/>
        <w:rPr>
          <w:rFonts w:ascii="Verdana" w:hAnsi="Verdana"/>
          <w:bCs/>
          <w:sz w:val="24"/>
          <w:szCs w:val="24"/>
        </w:rPr>
      </w:pPr>
      <w:r w:rsidRPr="00925DBF">
        <w:rPr>
          <w:rFonts w:ascii="Verdana" w:hAnsi="Verdana"/>
          <w:b/>
          <w:sz w:val="24"/>
          <w:szCs w:val="24"/>
        </w:rPr>
        <w:t>Acondicionamiento de la muestra</w:t>
      </w:r>
      <w:r w:rsidRPr="00925DBF" w:rsidR="003B4637">
        <w:rPr>
          <w:rFonts w:ascii="Verdana" w:hAnsi="Verdana"/>
          <w:b/>
          <w:sz w:val="24"/>
          <w:szCs w:val="24"/>
        </w:rPr>
        <w:t>:</w:t>
      </w:r>
      <w:r w:rsidRPr="003B4637" w:rsidR="003B4637">
        <w:rPr>
          <w:rFonts w:ascii="Verdana" w:hAnsi="Verdana"/>
          <w:bCs/>
          <w:sz w:val="24"/>
          <w:szCs w:val="24"/>
        </w:rPr>
        <w:t xml:space="preserve"> </w:t>
      </w:r>
      <w:r w:rsidR="00497073">
        <w:rPr>
          <w:rFonts w:ascii="Verdana" w:hAnsi="Verdana"/>
          <w:bCs/>
          <w:sz w:val="24"/>
          <w:szCs w:val="24"/>
        </w:rPr>
        <w:t>El mangostino (</w:t>
      </w:r>
      <w:proofErr w:type="spellStart"/>
      <w:r w:rsidRPr="00A722C8" w:rsidR="00497073">
        <w:rPr>
          <w:rFonts w:ascii="Verdana" w:hAnsi="Verdana"/>
          <w:bCs/>
          <w:i/>
          <w:iCs/>
          <w:sz w:val="24"/>
          <w:szCs w:val="24"/>
        </w:rPr>
        <w:t>Garcinia</w:t>
      </w:r>
      <w:proofErr w:type="spellEnd"/>
      <w:r w:rsidRPr="00A722C8" w:rsidR="00497073">
        <w:rPr>
          <w:rFonts w:ascii="Verdana" w:hAnsi="Verdana"/>
          <w:bCs/>
          <w:i/>
          <w:iCs/>
          <w:sz w:val="24"/>
          <w:szCs w:val="24"/>
        </w:rPr>
        <w:t xml:space="preserve"> </w:t>
      </w:r>
      <w:proofErr w:type="spellStart"/>
      <w:r w:rsidRPr="00A722C8" w:rsidR="00497073">
        <w:rPr>
          <w:rFonts w:ascii="Verdana" w:hAnsi="Verdana"/>
          <w:bCs/>
          <w:i/>
          <w:iCs/>
          <w:sz w:val="24"/>
          <w:szCs w:val="24"/>
        </w:rPr>
        <w:t>mangostana</w:t>
      </w:r>
      <w:proofErr w:type="spellEnd"/>
      <w:r w:rsidR="00497073">
        <w:rPr>
          <w:rFonts w:ascii="Verdana" w:hAnsi="Verdana"/>
          <w:bCs/>
          <w:sz w:val="24"/>
          <w:szCs w:val="24"/>
        </w:rPr>
        <w:t xml:space="preserve">) fue obtenido </w:t>
      </w:r>
      <w:r>
        <w:rPr>
          <w:rFonts w:ascii="Verdana" w:hAnsi="Verdana"/>
          <w:bCs/>
          <w:sz w:val="24"/>
          <w:szCs w:val="24"/>
        </w:rPr>
        <w:t xml:space="preserve">en la plaza del Restrepo de la ciudad de Bogotá D.C, Colombia. Inicialmente el pericarpio fue separado de la semilla y la pulpa, y llevado a </w:t>
      </w:r>
      <w:r w:rsidR="006A4676">
        <w:rPr>
          <w:rFonts w:ascii="Verdana" w:hAnsi="Verdana"/>
          <w:bCs/>
          <w:sz w:val="24"/>
          <w:szCs w:val="24"/>
        </w:rPr>
        <w:t>secado en estufa a 50</w:t>
      </w:r>
      <w:r w:rsidRPr="006A4676" w:rsidR="006A4676">
        <w:rPr>
          <w:rFonts w:ascii="Verdana" w:hAnsi="Verdana"/>
          <w:bCs/>
          <w:sz w:val="24"/>
          <w:szCs w:val="24"/>
          <w:vertAlign w:val="superscript"/>
        </w:rPr>
        <w:t>o</w:t>
      </w:r>
      <w:r w:rsidR="006A4676">
        <w:rPr>
          <w:rFonts w:ascii="Verdana" w:hAnsi="Verdana"/>
          <w:bCs/>
          <w:sz w:val="24"/>
          <w:szCs w:val="24"/>
        </w:rPr>
        <w:t xml:space="preserve">C por 48 h. Posteriormente, las muestras fueron trituradas y almacenas a temperatura ambiente </w:t>
      </w:r>
      <w:r w:rsidR="00526FE4">
        <w:rPr>
          <w:rFonts w:ascii="Verdana" w:hAnsi="Verdana"/>
          <w:bCs/>
          <w:sz w:val="24"/>
          <w:szCs w:val="24"/>
        </w:rPr>
        <w:t xml:space="preserve">hasta su posterior uso (Figura 1). </w:t>
      </w:r>
    </w:p>
    <w:p w:rsidR="00526FE4" w:rsidP="00A722C8" w:rsidRDefault="00526FE4" w14:paraId="24289904" w14:textId="6E118492">
      <w:pPr>
        <w:jc w:val="both"/>
        <w:rPr>
          <w:rFonts w:ascii="Verdana" w:hAnsi="Verdana"/>
          <w:bCs/>
          <w:sz w:val="24"/>
          <w:szCs w:val="24"/>
        </w:rPr>
      </w:pPr>
      <w:r w:rsidRPr="00526FE4">
        <w:rPr>
          <w:rFonts w:ascii="Verdana" w:hAnsi="Verdana"/>
          <w:bCs/>
          <w:noProof/>
          <w:sz w:val="24"/>
          <w:szCs w:val="24"/>
        </w:rPr>
        <w:drawing>
          <wp:inline distT="0" distB="0" distL="0" distR="0" wp14:anchorId="3117D8D7" wp14:editId="56C88FEA">
            <wp:extent cx="5612130" cy="147764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1477645"/>
                    </a:xfrm>
                    <a:prstGeom prst="rect">
                      <a:avLst/>
                    </a:prstGeom>
                  </pic:spPr>
                </pic:pic>
              </a:graphicData>
            </a:graphic>
          </wp:inline>
        </w:drawing>
      </w:r>
    </w:p>
    <w:p w:rsidRPr="00C516AE" w:rsidR="00526FE4" w:rsidP="00A722C8" w:rsidRDefault="00526FE4" w14:paraId="1AD35C32" w14:textId="432B39E6">
      <w:pPr>
        <w:jc w:val="both"/>
        <w:rPr>
          <w:rFonts w:ascii="Verdana" w:hAnsi="Verdana"/>
          <w:bCs/>
          <w:sz w:val="20"/>
          <w:szCs w:val="20"/>
        </w:rPr>
      </w:pPr>
      <w:r w:rsidRPr="00C516AE">
        <w:rPr>
          <w:rFonts w:ascii="Verdana" w:hAnsi="Verdana"/>
          <w:b/>
          <w:i/>
          <w:iCs/>
          <w:sz w:val="20"/>
          <w:szCs w:val="20"/>
        </w:rPr>
        <w:t>Figura 1.</w:t>
      </w:r>
      <w:r w:rsidRPr="00C516AE">
        <w:rPr>
          <w:rFonts w:ascii="Verdana" w:hAnsi="Verdana"/>
          <w:bCs/>
          <w:sz w:val="20"/>
          <w:szCs w:val="20"/>
        </w:rPr>
        <w:t xml:space="preserve"> Proceso de acondicionamiento del pericarpio de mangostino (</w:t>
      </w:r>
      <w:proofErr w:type="spellStart"/>
      <w:r w:rsidRPr="00C516AE">
        <w:rPr>
          <w:rFonts w:ascii="Verdana" w:hAnsi="Verdana"/>
          <w:bCs/>
          <w:i/>
          <w:iCs/>
          <w:sz w:val="20"/>
          <w:szCs w:val="20"/>
        </w:rPr>
        <w:t>Garcinia</w:t>
      </w:r>
      <w:proofErr w:type="spellEnd"/>
      <w:r w:rsidRPr="00C516AE">
        <w:rPr>
          <w:rFonts w:ascii="Verdana" w:hAnsi="Verdana"/>
          <w:bCs/>
          <w:i/>
          <w:iCs/>
          <w:sz w:val="20"/>
          <w:szCs w:val="20"/>
        </w:rPr>
        <w:t xml:space="preserve"> </w:t>
      </w:r>
      <w:proofErr w:type="spellStart"/>
      <w:r w:rsidRPr="00C516AE">
        <w:rPr>
          <w:rFonts w:ascii="Verdana" w:hAnsi="Verdana"/>
          <w:bCs/>
          <w:i/>
          <w:iCs/>
          <w:sz w:val="20"/>
          <w:szCs w:val="20"/>
        </w:rPr>
        <w:t>mangostana</w:t>
      </w:r>
      <w:proofErr w:type="spellEnd"/>
      <w:r w:rsidRPr="00C516AE">
        <w:rPr>
          <w:rFonts w:ascii="Verdana" w:hAnsi="Verdana"/>
          <w:bCs/>
          <w:sz w:val="20"/>
          <w:szCs w:val="20"/>
        </w:rPr>
        <w:t>)</w:t>
      </w:r>
    </w:p>
    <w:p w:rsidR="006E5AA3" w:rsidP="3CEB8552" w:rsidRDefault="00083B31" w14:paraId="1B40900D" w14:textId="2F4F9507">
      <w:pPr>
        <w:jc w:val="both"/>
        <w:rPr>
          <w:rFonts w:ascii="Verdana" w:hAnsi="Verdana"/>
          <w:sz w:val="24"/>
          <w:szCs w:val="24"/>
        </w:rPr>
      </w:pPr>
      <w:r w:rsidRPr="3CEB8552">
        <w:rPr>
          <w:rFonts w:ascii="Verdana" w:hAnsi="Verdana"/>
          <w:b/>
          <w:bCs/>
          <w:sz w:val="24"/>
          <w:szCs w:val="24"/>
        </w:rPr>
        <w:t>Obtención de extractos:</w:t>
      </w:r>
      <w:r w:rsidRPr="3CEB8552">
        <w:rPr>
          <w:rFonts w:ascii="Verdana" w:hAnsi="Verdana"/>
          <w:sz w:val="24"/>
          <w:szCs w:val="24"/>
        </w:rPr>
        <w:t xml:space="preserve"> </w:t>
      </w:r>
      <w:r w:rsidRPr="3CEB8552" w:rsidR="005B0D78">
        <w:rPr>
          <w:rFonts w:ascii="Verdana" w:hAnsi="Verdana"/>
          <w:sz w:val="24"/>
          <w:szCs w:val="24"/>
        </w:rPr>
        <w:t xml:space="preserve">La extracción fue realizada por el método propuesto por </w:t>
      </w:r>
      <w:r w:rsidRPr="3CEB8552">
        <w:rPr>
          <w:rFonts w:ascii="Verdana" w:hAnsi="Verdana"/>
          <w:sz w:val="24"/>
          <w:szCs w:val="24"/>
        </w:rPr>
        <w:fldChar w:fldCharType="begin" w:fldLock="1"/>
      </w:r>
      <w:r w:rsidR="000C39B8">
        <w:rPr>
          <w:rFonts w:ascii="Verdana" w:hAnsi="Verdana"/>
          <w:sz w:val="24"/>
          <w:szCs w:val="24"/>
        </w:rPr>
        <w:instrText>ADDIN CSL_CITATION {"citationItems":[{"id":"ITEM-1","itemData":{"DOI":"10.1016/j.jfoodeng.2019.06.010","ISSN":"02608774","author":[{"dropping-particle":"","family":"Capello","given":"Cristiane","non-dropping-particle":"","parse-names":false,"suffix":""},{"dropping-particle":"","family":"Leandro","given":"Gabriel Coelho","non-dropping-particle":"","parse-names":false,"suffix":""},{"dropping-particle":"","family":"Maduro Campos","given":"Carlos Eduardo","non-dropping-particle":"","parse-names":false,"suffix":""},{"dropping-particle":"","family":"Hotza","given":"Dachamir","non-dropping-particle":"","parse-names":false,"suffix":""},{"dropping-particle":"","family":"Mattar Carciofi","given":"Bruno Augusto","non-dropping-particle":"","parse-names":false,"suffix":""},{"dropping-particle":"","family":"Valencia","given":"Germán Ayala","non-dropping-particle":"","parse-names":false,"suffix":""}],"container-title":"Journal of Food Engineering","id":"ITEM-1","issued":{"date-parts":[["2019","12"]]},"page":"162-169","title":"Adsorption and desorption of eggplant peel anthocyanins on a synthetic layered silicate","type":"article-journal","volume":"262"},"uris":["http://www.mendeley.com/documents/?uuid=807956f4-26ef-39c1-be61-71b6d69f2c65","http://www.mendeley.com/documents/?uuid=66276226-d38a-4b83-824a-48b6a280d589"]}],"mendeley":{"formattedCitation":"(Capello et al., 2019)","plainTextFormattedCitation":"(Capello et al., 2019)","previouslyFormattedCitation":"(Capello et al., 2019)"},"properties":{"noteIndex":0},"schema":"https://github.com/citation-style-language/schema/raw/master/csl-citation.json"}</w:instrText>
      </w:r>
      <w:r w:rsidRPr="3CEB8552">
        <w:rPr>
          <w:rFonts w:ascii="Verdana" w:hAnsi="Verdana"/>
          <w:sz w:val="24"/>
          <w:szCs w:val="24"/>
        </w:rPr>
        <w:fldChar w:fldCharType="separate"/>
      </w:r>
      <w:r w:rsidRPr="3CEB8552" w:rsidR="005B0D78">
        <w:rPr>
          <w:rFonts w:ascii="Verdana" w:hAnsi="Verdana"/>
          <w:noProof/>
          <w:sz w:val="24"/>
          <w:szCs w:val="24"/>
        </w:rPr>
        <w:t>(Capello et al., 2019)</w:t>
      </w:r>
      <w:r w:rsidRPr="3CEB8552">
        <w:rPr>
          <w:rFonts w:ascii="Verdana" w:hAnsi="Verdana"/>
          <w:sz w:val="24"/>
          <w:szCs w:val="24"/>
        </w:rPr>
        <w:fldChar w:fldCharType="end"/>
      </w:r>
      <w:r w:rsidRPr="3CEB8552" w:rsidR="005B0D78">
        <w:rPr>
          <w:rFonts w:ascii="Verdana" w:hAnsi="Verdana"/>
          <w:sz w:val="24"/>
          <w:szCs w:val="24"/>
        </w:rPr>
        <w:t xml:space="preserve"> usando dos solventes: etanol (pH 5.0) y mezcla etanol-</w:t>
      </w:r>
      <w:r w:rsidRPr="3CEB8552" w:rsidR="6B25A4AA">
        <w:rPr>
          <w:rFonts w:ascii="Verdana" w:hAnsi="Verdana"/>
          <w:sz w:val="24"/>
          <w:szCs w:val="24"/>
        </w:rPr>
        <w:t>Ácido</w:t>
      </w:r>
      <w:r w:rsidRPr="3CEB8552" w:rsidR="005B0D78">
        <w:rPr>
          <w:rFonts w:ascii="Verdana" w:hAnsi="Verdana"/>
          <w:sz w:val="24"/>
          <w:szCs w:val="24"/>
        </w:rPr>
        <w:t xml:space="preserve"> cítrico (pH </w:t>
      </w:r>
      <w:r w:rsidRPr="3CEB8552" w:rsidR="00F85D88">
        <w:rPr>
          <w:rFonts w:ascii="Verdana" w:hAnsi="Verdana"/>
          <w:sz w:val="24"/>
          <w:szCs w:val="24"/>
        </w:rPr>
        <w:t xml:space="preserve">2.0, </w:t>
      </w:r>
      <w:r w:rsidRPr="3CEB8552" w:rsidR="005B0D78">
        <w:rPr>
          <w:rFonts w:ascii="Verdana" w:hAnsi="Verdana"/>
          <w:sz w:val="24"/>
          <w:szCs w:val="24"/>
        </w:rPr>
        <w:t>3.5 y 4.0). Se empleó un sistema de extracción asistido por ultrasonido – EAU (</w:t>
      </w:r>
      <w:proofErr w:type="spellStart"/>
      <w:r w:rsidRPr="3CEB8552" w:rsidR="00F45A75">
        <w:rPr>
          <w:rFonts w:ascii="Verdana" w:hAnsi="Verdana"/>
          <w:sz w:val="24"/>
          <w:szCs w:val="24"/>
        </w:rPr>
        <w:t>Hielscher</w:t>
      </w:r>
      <w:proofErr w:type="spellEnd"/>
      <w:r w:rsidRPr="3CEB8552" w:rsidR="00F45A75">
        <w:rPr>
          <w:rFonts w:ascii="Verdana" w:hAnsi="Verdana"/>
          <w:sz w:val="24"/>
          <w:szCs w:val="24"/>
        </w:rPr>
        <w:t>, UP200Ht</w:t>
      </w:r>
      <w:r w:rsidRPr="3CEB8552" w:rsidR="005B0D78">
        <w:rPr>
          <w:rFonts w:ascii="Verdana" w:hAnsi="Verdana"/>
          <w:sz w:val="24"/>
          <w:szCs w:val="24"/>
        </w:rPr>
        <w:t xml:space="preserve">) </w:t>
      </w:r>
      <w:r w:rsidRPr="3CEB8552" w:rsidR="00F45A75">
        <w:rPr>
          <w:rFonts w:ascii="Verdana" w:hAnsi="Verdana"/>
          <w:sz w:val="24"/>
          <w:szCs w:val="24"/>
        </w:rPr>
        <w:t xml:space="preserve">considerando los siguientes parámetros: </w:t>
      </w:r>
      <w:r w:rsidRPr="3CEB8552" w:rsidR="005B0D78">
        <w:rPr>
          <w:rFonts w:ascii="Verdana" w:hAnsi="Verdana"/>
          <w:sz w:val="24"/>
          <w:szCs w:val="24"/>
        </w:rPr>
        <w:t xml:space="preserve">relación </w:t>
      </w:r>
      <w:proofErr w:type="spellStart"/>
      <w:r w:rsidRPr="3CEB8552" w:rsidR="005B0D78">
        <w:rPr>
          <w:rFonts w:ascii="Verdana" w:hAnsi="Verdana"/>
          <w:sz w:val="24"/>
          <w:szCs w:val="24"/>
        </w:rPr>
        <w:t>sólido:solvente</w:t>
      </w:r>
      <w:proofErr w:type="spellEnd"/>
      <w:r w:rsidRPr="3CEB8552" w:rsidR="005B0D78">
        <w:rPr>
          <w:rFonts w:ascii="Verdana" w:hAnsi="Verdana"/>
          <w:sz w:val="24"/>
          <w:szCs w:val="24"/>
        </w:rPr>
        <w:t xml:space="preserve"> 1:10; 30 min; </w:t>
      </w:r>
      <w:r w:rsidRPr="3CEB8552" w:rsidR="003C7869">
        <w:rPr>
          <w:rFonts w:ascii="Verdana" w:hAnsi="Verdana"/>
          <w:sz w:val="24"/>
          <w:szCs w:val="24"/>
        </w:rPr>
        <w:t>frecuencia</w:t>
      </w:r>
      <w:r w:rsidRPr="3CEB8552" w:rsidR="005B0D78">
        <w:rPr>
          <w:rFonts w:ascii="Verdana" w:hAnsi="Verdana"/>
          <w:sz w:val="24"/>
          <w:szCs w:val="24"/>
        </w:rPr>
        <w:t xml:space="preserve">: 20 y 40 kHz). Una vez finalizado el proceso de extracción, </w:t>
      </w:r>
      <w:r w:rsidRPr="3CEB8552" w:rsidR="00F45A75">
        <w:rPr>
          <w:rFonts w:ascii="Verdana" w:hAnsi="Verdana"/>
          <w:sz w:val="24"/>
          <w:szCs w:val="24"/>
        </w:rPr>
        <w:t xml:space="preserve">estos fueron centrifugados por 15 min a 4000 rpm y posterior filtrado, y almacenados en frascos ámbar a 4°C hasta su caracterización.  </w:t>
      </w:r>
    </w:p>
    <w:p w:rsidRPr="00032A1F" w:rsidR="00032A1F" w:rsidP="1FCAC7CA" w:rsidRDefault="006E5AA3" w14:paraId="1488F421" w14:textId="02D944DF">
      <w:pPr>
        <w:jc w:val="both"/>
        <w:rPr>
          <w:rFonts w:ascii="Verdana" w:hAnsi="Verdana"/>
          <w:sz w:val="24"/>
          <w:szCs w:val="24"/>
        </w:rPr>
      </w:pPr>
      <w:r w:rsidRPr="1FCAC7CA" w:rsidR="006E5AA3">
        <w:rPr>
          <w:rFonts w:ascii="Verdana" w:hAnsi="Verdana"/>
          <w:b w:val="1"/>
          <w:bCs w:val="1"/>
          <w:sz w:val="24"/>
          <w:szCs w:val="24"/>
        </w:rPr>
        <w:t>Contenido de fenoles totales:</w:t>
      </w:r>
      <w:r w:rsidRPr="1FCAC7CA" w:rsidR="006E5AA3">
        <w:rPr>
          <w:rFonts w:ascii="Verdana" w:hAnsi="Verdana"/>
          <w:sz w:val="24"/>
          <w:szCs w:val="24"/>
        </w:rPr>
        <w:t xml:space="preserve"> La cuantificación del </w:t>
      </w:r>
      <w:r w:rsidRPr="1FCAC7CA" w:rsidR="006E5AA3">
        <w:rPr>
          <w:rFonts w:ascii="Verdana" w:hAnsi="Verdana"/>
          <w:sz w:val="24"/>
          <w:szCs w:val="24"/>
        </w:rPr>
        <w:t xml:space="preserve">contenido de fenoles totales del extracto </w:t>
      </w:r>
      <w:r w:rsidRPr="1FCAC7CA" w:rsidR="006E5AA3">
        <w:rPr>
          <w:rFonts w:ascii="Verdana" w:hAnsi="Verdana"/>
          <w:sz w:val="24"/>
          <w:szCs w:val="24"/>
        </w:rPr>
        <w:t>del pericarpio del mangostino</w:t>
      </w:r>
      <w:r w:rsidRPr="1FCAC7CA" w:rsidR="006E5AA3">
        <w:rPr>
          <w:rFonts w:ascii="Verdana" w:hAnsi="Verdana"/>
          <w:sz w:val="24"/>
          <w:szCs w:val="24"/>
        </w:rPr>
        <w:t xml:space="preserve"> (</w:t>
      </w:r>
      <w:r w:rsidRPr="1FCAC7CA" w:rsidR="006E5AA3">
        <w:rPr>
          <w:rFonts w:ascii="Verdana" w:hAnsi="Verdana"/>
          <w:i w:val="1"/>
          <w:iCs w:val="1"/>
          <w:sz w:val="24"/>
          <w:szCs w:val="24"/>
        </w:rPr>
        <w:t>Garcinia</w:t>
      </w:r>
      <w:r w:rsidRPr="1FCAC7CA" w:rsidR="006E5AA3">
        <w:rPr>
          <w:rFonts w:ascii="Verdana" w:hAnsi="Verdana"/>
          <w:i w:val="1"/>
          <w:iCs w:val="1"/>
          <w:sz w:val="24"/>
          <w:szCs w:val="24"/>
        </w:rPr>
        <w:t xml:space="preserve"> </w:t>
      </w:r>
      <w:r w:rsidRPr="1FCAC7CA" w:rsidR="006E5AA3">
        <w:rPr>
          <w:rFonts w:ascii="Verdana" w:hAnsi="Verdana"/>
          <w:i w:val="1"/>
          <w:iCs w:val="1"/>
          <w:sz w:val="24"/>
          <w:szCs w:val="24"/>
        </w:rPr>
        <w:t>mangostana</w:t>
      </w:r>
      <w:r w:rsidRPr="1FCAC7CA" w:rsidR="006E5AA3">
        <w:rPr>
          <w:rFonts w:ascii="Verdana" w:hAnsi="Verdana"/>
          <w:sz w:val="24"/>
          <w:szCs w:val="24"/>
        </w:rPr>
        <w:t xml:space="preserve">) </w:t>
      </w:r>
      <w:r w:rsidRPr="1FCAC7CA" w:rsidR="006E5AA3">
        <w:rPr>
          <w:rFonts w:ascii="Verdana" w:hAnsi="Verdana"/>
          <w:sz w:val="24"/>
          <w:szCs w:val="24"/>
        </w:rPr>
        <w:t xml:space="preserve">se cuantificó siguiendo el método colorimétrico descrito por </w:t>
      </w:r>
      <w:r w:rsidRPr="1FCAC7CA" w:rsidR="00925DBF">
        <w:rPr>
          <w:rFonts w:ascii="Verdana" w:hAnsi="Verdana"/>
          <w:sz w:val="24"/>
          <w:szCs w:val="24"/>
        </w:rPr>
        <w:t xml:space="preserve"> </w:t>
      </w:r>
      <w:r w:rsidRPr="1FCAC7CA" w:rsidR="00925DBF">
        <w:rPr>
          <w:rFonts w:ascii="Verdana" w:hAnsi="Verdana"/>
          <w:sz w:val="24"/>
          <w:szCs w:val="24"/>
        </w:rPr>
        <w:t>Singleton</w:t>
      </w:r>
      <w:r w:rsidRPr="1FCAC7CA" w:rsidR="00925DBF">
        <w:rPr>
          <w:rFonts w:ascii="Verdana" w:hAnsi="Verdana"/>
          <w:sz w:val="24"/>
          <w:szCs w:val="24"/>
        </w:rPr>
        <w:t xml:space="preserve"> &amp;</w:t>
      </w:r>
      <w:r w:rsidRPr="1FCAC7CA" w:rsidR="00925DBF">
        <w:rPr>
          <w:rFonts w:ascii="Verdana" w:hAnsi="Verdana"/>
          <w:sz w:val="24"/>
          <w:szCs w:val="24"/>
        </w:rPr>
        <w:t xml:space="preserve"> Rossi (1965) </w:t>
      </w:r>
      <w:r w:rsidRPr="1FCAC7CA" w:rsidR="006E5AA3">
        <w:rPr>
          <w:rFonts w:ascii="Verdana" w:hAnsi="Verdana"/>
          <w:sz w:val="24"/>
          <w:szCs w:val="24"/>
        </w:rPr>
        <w:t>con algunas modificaciones</w:t>
      </w:r>
      <w:r w:rsidRPr="1FCAC7CA" w:rsidR="00925DBF">
        <w:rPr>
          <w:rFonts w:ascii="Verdana" w:hAnsi="Verdana"/>
          <w:sz w:val="24"/>
          <w:szCs w:val="24"/>
        </w:rPr>
        <w:t xml:space="preserve"> </w:t>
      </w:r>
      <w:r w:rsidRPr="1FCAC7CA">
        <w:rPr>
          <w:rFonts w:ascii="Verdana" w:hAnsi="Verdana"/>
          <w:sz w:val="24"/>
          <w:szCs w:val="24"/>
        </w:rPr>
        <w:fldChar w:fldCharType="begin" w:fldLock="true"/>
      </w:r>
      <w:r w:rsidRPr="1FCAC7CA">
        <w:rPr>
          <w:rFonts w:ascii="Verdana" w:hAnsi="Verdana"/>
          <w:sz w:val="24"/>
          <w:szCs w:val="24"/>
        </w:rPr>
        <w:instrText xml:space="preserve">ADDIN CSL_CITATION {"citationItems":[{"id":"ITEM-1","itemData":{"DOI":"10.1016/j.fpsl.2020.100607","ISSN":"22142894","author":[{"dropping-particle":"","family":"Reyes","given":"L.M.","non-dropping-particle":"","parse-names":false,"suffix":""},{"dropping-particle":"","family":"Landgraf","given":"M.","non-dropping-particle":"","parse-names":false,"suffix":""},{"dropping-particle":"","family":"Sobral","given":"P.J.A.","non-dropping-particle":"","parse-names":false,"suffix":""}],"container-title":"Food Packaging and Shelf Life","id":"ITEM-1","issued":{"date-parts":[["2021","3"]]},"page":"100607","title":"Gelatin-based films activated with red propolis ethanolic extract and essential oils","type":"article-journal","volume":"27"},"uris":["http://www.mendeley.com/documents/?uuid=adec4a12-4a8e-467e-8f04-c5a9a31f5dfc"]}],"mendeley":{"formattedCitation":"(Reyes, Landgraf, &amp; Sobral, 2021)","plainTextFormattedCitation":"(Reyes, Landgraf, &amp; Sobral, 2021)","previouslyFormattedCitation":"(Reyes, Landgraf, &amp; Sobral, 2021)"},"properties":{"noteIndex":0},"schema":"https://github.com/citation-style-language/schema/raw/master/csl-citation.json"}</w:instrText>
      </w:r>
      <w:r w:rsidRPr="1FCAC7CA">
        <w:rPr>
          <w:rFonts w:ascii="Verdana" w:hAnsi="Verdana"/>
          <w:sz w:val="24"/>
          <w:szCs w:val="24"/>
        </w:rPr>
        <w:fldChar w:fldCharType="separate"/>
      </w:r>
      <w:r w:rsidRPr="1FCAC7CA" w:rsidR="000C39B8">
        <w:rPr>
          <w:rFonts w:ascii="Verdana" w:hAnsi="Verdana"/>
          <w:noProof/>
          <w:sz w:val="24"/>
          <w:szCs w:val="24"/>
        </w:rPr>
        <w:t>(Reyes, Landgraf, &amp; Sobral, 2021)</w:t>
      </w:r>
      <w:r w:rsidRPr="1FCAC7CA">
        <w:rPr>
          <w:rFonts w:ascii="Verdana" w:hAnsi="Verdana"/>
          <w:sz w:val="24"/>
          <w:szCs w:val="24"/>
        </w:rPr>
        <w:fldChar w:fldCharType="end"/>
      </w:r>
      <w:r w:rsidRPr="1FCAC7CA" w:rsidR="006E5AA3">
        <w:rPr>
          <w:rFonts w:ascii="Verdana" w:hAnsi="Verdana"/>
          <w:sz w:val="24"/>
          <w:szCs w:val="24"/>
        </w:rPr>
        <w:t xml:space="preserve">, empleando el reactivo </w:t>
      </w:r>
      <w:r w:rsidRPr="1FCAC7CA" w:rsidR="006E5AA3">
        <w:rPr>
          <w:rFonts w:ascii="Verdana" w:hAnsi="Verdana"/>
          <w:sz w:val="24"/>
          <w:szCs w:val="24"/>
        </w:rPr>
        <w:t>Folin-Ciocalteau</w:t>
      </w:r>
      <w:r w:rsidRPr="1FCAC7CA" w:rsidR="00925DBF">
        <w:rPr>
          <w:rFonts w:ascii="Verdana" w:hAnsi="Verdana"/>
          <w:sz w:val="24"/>
          <w:szCs w:val="24"/>
        </w:rPr>
        <w:t xml:space="preserve">. Inicialmente, se diluyeron alícuotas del extracto, </w:t>
      </w:r>
      <w:r w:rsidRPr="1FCAC7CA" w:rsidR="00925DBF">
        <w:rPr>
          <w:rFonts w:ascii="Verdana" w:hAnsi="Verdana"/>
          <w:sz w:val="24"/>
          <w:szCs w:val="24"/>
        </w:rPr>
        <w:t xml:space="preserve">se añadió el reactivo de </w:t>
      </w:r>
      <w:r w:rsidRPr="1FCAC7CA" w:rsidR="00925DBF">
        <w:rPr>
          <w:rFonts w:ascii="Verdana" w:hAnsi="Verdana"/>
          <w:sz w:val="24"/>
          <w:szCs w:val="24"/>
        </w:rPr>
        <w:t>Folin</w:t>
      </w:r>
      <w:r w:rsidRPr="1FCAC7CA" w:rsidR="00925DBF">
        <w:rPr>
          <w:rFonts w:ascii="Verdana" w:hAnsi="Verdana"/>
          <w:sz w:val="24"/>
          <w:szCs w:val="24"/>
        </w:rPr>
        <w:t xml:space="preserve"> (1:10) a estas soluciones. Tras 2 min, se añadió carbonato de sodio (4 %) y las soluciones se mantuvieron durante 1 h en ausencia de luz. Posteriormente, se determinó la absorbancia a 760 nm con un espectrofotómetro </w:t>
      </w:r>
      <w:r w:rsidRPr="1FCAC7CA" w:rsidR="00925DBF">
        <w:rPr>
          <w:rFonts w:ascii="Verdana" w:hAnsi="Verdana"/>
          <w:sz w:val="24"/>
          <w:szCs w:val="24"/>
        </w:rPr>
        <w:t>Biochrom</w:t>
      </w:r>
      <w:r w:rsidRPr="1FCAC7CA" w:rsidR="00925DBF">
        <w:rPr>
          <w:rFonts w:ascii="Verdana" w:hAnsi="Verdana"/>
          <w:sz w:val="24"/>
          <w:szCs w:val="24"/>
        </w:rPr>
        <w:t xml:space="preserve"> (Libra S22, Cambridge, Inglaterra)</w:t>
      </w:r>
      <w:r w:rsidRPr="1FCAC7CA" w:rsidR="00925DBF">
        <w:rPr>
          <w:rFonts w:ascii="Verdana" w:hAnsi="Verdana"/>
          <w:sz w:val="24"/>
          <w:szCs w:val="24"/>
        </w:rPr>
        <w:t>.</w:t>
      </w:r>
      <w:r w:rsidRPr="1FCAC7CA" w:rsidR="00925DBF">
        <w:rPr>
          <w:rFonts w:ascii="Verdana" w:hAnsi="Verdana"/>
          <w:sz w:val="24"/>
          <w:szCs w:val="24"/>
        </w:rPr>
        <w:t xml:space="preserve"> Los resultados de estos análisis se expresaron en mg de ácido gálico/g de muestra, calculados mediante una curva estándar de ácido gálico.</w:t>
      </w:r>
    </w:p>
    <w:p w:rsidR="00154F1F" w:rsidP="0053193A" w:rsidRDefault="00154F1F" w14:paraId="5423E9B4" w14:textId="6F25B476">
      <w:pPr>
        <w:jc w:val="both"/>
        <w:rPr>
          <w:rFonts w:ascii="Verdana" w:hAnsi="Verdana"/>
          <w:b/>
          <w:bCs/>
          <w:sz w:val="24"/>
          <w:szCs w:val="24"/>
        </w:rPr>
      </w:pPr>
      <w:r w:rsidRPr="00032A1F">
        <w:rPr>
          <w:rFonts w:ascii="Verdana" w:hAnsi="Verdana"/>
          <w:b/>
          <w:sz w:val="24"/>
          <w:szCs w:val="24"/>
        </w:rPr>
        <w:t>Cromatografía Líquida de Ultra Rendimiento acoplada a Espectrometría de Masas (UPLC-MS)</w:t>
      </w:r>
      <w:r w:rsidRPr="00032A1F">
        <w:rPr>
          <w:rFonts w:ascii="Verdana" w:hAnsi="Verdana"/>
          <w:b/>
          <w:bCs/>
          <w:sz w:val="24"/>
          <w:szCs w:val="24"/>
        </w:rPr>
        <w:t xml:space="preserve"> </w:t>
      </w:r>
    </w:p>
    <w:p w:rsidRPr="0053193A" w:rsidR="0053193A" w:rsidP="0053193A" w:rsidRDefault="0053193A" w14:paraId="188B2737" w14:textId="5594D4F2">
      <w:pPr>
        <w:jc w:val="both"/>
        <w:rPr>
          <w:rFonts w:ascii="Verdana" w:hAnsi="Verdana"/>
          <w:bCs/>
          <w:sz w:val="24"/>
          <w:szCs w:val="24"/>
        </w:rPr>
      </w:pPr>
      <w:r w:rsidRPr="0053193A">
        <w:rPr>
          <w:rFonts w:ascii="Verdana" w:hAnsi="Verdana"/>
          <w:bCs/>
          <w:sz w:val="24"/>
          <w:szCs w:val="24"/>
        </w:rPr>
        <w:t>Tras la optimización de las condiciones experimentales para el análisis por UPLC-MS, se estableció un protocolo estándar para la evaluación de los extractos</w:t>
      </w:r>
      <w:r w:rsidR="00D53E62">
        <w:rPr>
          <w:rFonts w:ascii="Verdana" w:hAnsi="Verdana"/>
          <w:bCs/>
          <w:sz w:val="24"/>
          <w:szCs w:val="24"/>
        </w:rPr>
        <w:t xml:space="preserve">. </w:t>
      </w:r>
      <w:r w:rsidRPr="0053193A">
        <w:rPr>
          <w:rFonts w:ascii="Verdana" w:hAnsi="Verdana"/>
          <w:bCs/>
          <w:sz w:val="24"/>
          <w:szCs w:val="24"/>
        </w:rPr>
        <w:t xml:space="preserve">Para cada ensayo, se añadieron 100 </w:t>
      </w:r>
      <w:proofErr w:type="spellStart"/>
      <w:r w:rsidRPr="0053193A">
        <w:rPr>
          <w:rFonts w:ascii="Verdana" w:hAnsi="Verdana"/>
          <w:bCs/>
          <w:sz w:val="24"/>
          <w:szCs w:val="24"/>
        </w:rPr>
        <w:t>μL</w:t>
      </w:r>
      <w:proofErr w:type="spellEnd"/>
      <w:r w:rsidRPr="0053193A">
        <w:rPr>
          <w:rFonts w:ascii="Verdana" w:hAnsi="Verdana"/>
          <w:bCs/>
          <w:sz w:val="24"/>
          <w:szCs w:val="24"/>
        </w:rPr>
        <w:t xml:space="preserve"> de extracto concentrado a un vial de HPLC de 1,5 </w:t>
      </w:r>
      <w:proofErr w:type="spellStart"/>
      <w:r w:rsidRPr="0053193A">
        <w:rPr>
          <w:rFonts w:ascii="Verdana" w:hAnsi="Verdana"/>
          <w:bCs/>
          <w:sz w:val="24"/>
          <w:szCs w:val="24"/>
        </w:rPr>
        <w:t>mL</w:t>
      </w:r>
      <w:proofErr w:type="spellEnd"/>
      <w:r w:rsidRPr="0053193A">
        <w:rPr>
          <w:rFonts w:ascii="Verdana" w:hAnsi="Verdana"/>
          <w:bCs/>
          <w:sz w:val="24"/>
          <w:szCs w:val="24"/>
        </w:rPr>
        <w:t xml:space="preserve">, el cual se completó con 1,4 </w:t>
      </w:r>
      <w:proofErr w:type="spellStart"/>
      <w:r w:rsidRPr="0053193A">
        <w:rPr>
          <w:rFonts w:ascii="Verdana" w:hAnsi="Verdana"/>
          <w:bCs/>
          <w:sz w:val="24"/>
          <w:szCs w:val="24"/>
        </w:rPr>
        <w:t>mL</w:t>
      </w:r>
      <w:proofErr w:type="spellEnd"/>
      <w:r w:rsidRPr="0053193A">
        <w:rPr>
          <w:rFonts w:ascii="Verdana" w:hAnsi="Verdana"/>
          <w:bCs/>
          <w:sz w:val="24"/>
          <w:szCs w:val="24"/>
        </w:rPr>
        <w:t xml:space="preserve"> de agua grado HPLC. Posteriormente, las muestras fueron colocadas en el </w:t>
      </w:r>
      <w:proofErr w:type="spellStart"/>
      <w:r w:rsidRPr="0053193A">
        <w:rPr>
          <w:rFonts w:ascii="Verdana" w:hAnsi="Verdana"/>
          <w:bCs/>
          <w:sz w:val="24"/>
          <w:szCs w:val="24"/>
        </w:rPr>
        <w:t>automuestreador</w:t>
      </w:r>
      <w:proofErr w:type="spellEnd"/>
      <w:r w:rsidRPr="0053193A">
        <w:rPr>
          <w:rFonts w:ascii="Verdana" w:hAnsi="Verdana"/>
          <w:bCs/>
          <w:sz w:val="24"/>
          <w:szCs w:val="24"/>
        </w:rPr>
        <w:t>, mantenido a 40 °C.</w:t>
      </w:r>
    </w:p>
    <w:p w:rsidRPr="0053193A" w:rsidR="0053193A" w:rsidP="0053193A" w:rsidRDefault="0053193A" w14:paraId="2D6C33C3" w14:textId="77777777">
      <w:pPr>
        <w:jc w:val="both"/>
        <w:rPr>
          <w:rFonts w:ascii="Verdana" w:hAnsi="Verdana"/>
          <w:bCs/>
          <w:sz w:val="24"/>
          <w:szCs w:val="24"/>
        </w:rPr>
      </w:pPr>
      <w:r w:rsidRPr="0053193A">
        <w:rPr>
          <w:rFonts w:ascii="Verdana" w:hAnsi="Verdana"/>
          <w:bCs/>
          <w:sz w:val="24"/>
          <w:szCs w:val="24"/>
        </w:rPr>
        <w:t xml:space="preserve">La separación cromatográfica se efectuó en un sistema </w:t>
      </w:r>
      <w:proofErr w:type="spellStart"/>
      <w:r w:rsidRPr="0053193A">
        <w:rPr>
          <w:rFonts w:ascii="Verdana" w:hAnsi="Verdana"/>
          <w:bCs/>
          <w:sz w:val="24"/>
          <w:szCs w:val="24"/>
        </w:rPr>
        <w:t>Acquity</w:t>
      </w:r>
      <w:proofErr w:type="spellEnd"/>
      <w:r w:rsidRPr="0053193A">
        <w:rPr>
          <w:rFonts w:ascii="Verdana" w:hAnsi="Verdana"/>
          <w:bCs/>
          <w:sz w:val="24"/>
          <w:szCs w:val="24"/>
        </w:rPr>
        <w:t xml:space="preserve"> UPLC (Waters, Milford, MA, EE. UU.) equipado con una columna </w:t>
      </w:r>
      <w:proofErr w:type="spellStart"/>
      <w:r w:rsidRPr="0053193A">
        <w:rPr>
          <w:rFonts w:ascii="Verdana" w:hAnsi="Verdana"/>
          <w:bCs/>
          <w:sz w:val="24"/>
          <w:szCs w:val="24"/>
        </w:rPr>
        <w:t>Acquity</w:t>
      </w:r>
      <w:proofErr w:type="spellEnd"/>
      <w:r w:rsidRPr="0053193A">
        <w:rPr>
          <w:rFonts w:ascii="Verdana" w:hAnsi="Verdana"/>
          <w:bCs/>
          <w:sz w:val="24"/>
          <w:szCs w:val="24"/>
        </w:rPr>
        <w:t xml:space="preserve"> BEH C18 (100 × 2,1 mm, 1,7 </w:t>
      </w:r>
      <w:proofErr w:type="spellStart"/>
      <w:r w:rsidRPr="0053193A">
        <w:rPr>
          <w:rFonts w:ascii="Verdana" w:hAnsi="Verdana"/>
          <w:bCs/>
          <w:sz w:val="24"/>
          <w:szCs w:val="24"/>
        </w:rPr>
        <w:t>μm</w:t>
      </w:r>
      <w:proofErr w:type="spellEnd"/>
      <w:r w:rsidRPr="0053193A">
        <w:rPr>
          <w:rFonts w:ascii="Verdana" w:hAnsi="Verdana"/>
          <w:bCs/>
          <w:sz w:val="24"/>
          <w:szCs w:val="24"/>
        </w:rPr>
        <w:t xml:space="preserve">). Elución de las muestras se llevó a cabo a un caudal de 300 </w:t>
      </w:r>
      <w:proofErr w:type="spellStart"/>
      <w:r w:rsidRPr="0053193A">
        <w:rPr>
          <w:rFonts w:ascii="Verdana" w:hAnsi="Verdana"/>
          <w:bCs/>
          <w:sz w:val="24"/>
          <w:szCs w:val="24"/>
        </w:rPr>
        <w:t>μL</w:t>
      </w:r>
      <w:proofErr w:type="spellEnd"/>
      <w:r w:rsidRPr="0053193A">
        <w:rPr>
          <w:rFonts w:ascii="Verdana" w:hAnsi="Verdana"/>
          <w:bCs/>
          <w:sz w:val="24"/>
          <w:szCs w:val="24"/>
        </w:rPr>
        <w:t>/min utilizando como fase móvil (A) agua con 0,1% v/v de ácido fórmico y (B) acetonitrilo al 100%. El programa de gradiente inició con 97% de disolvente A durante 1,10 min, seguido de un incremento de B desde 5% hasta 15% en el intervalo de 1,10 a 4,40 min. Posteriormente, se mantuvo 15% de B durante 4,60 min, antes de retornar a las condiciones iniciales por 1 min.</w:t>
      </w:r>
    </w:p>
    <w:p w:rsidRPr="0053193A" w:rsidR="0053193A" w:rsidP="0053193A" w:rsidRDefault="0053193A" w14:paraId="2B0A7DF5" w14:textId="77777777">
      <w:pPr>
        <w:jc w:val="both"/>
        <w:rPr>
          <w:rFonts w:ascii="Verdana" w:hAnsi="Verdana"/>
          <w:bCs/>
          <w:sz w:val="24"/>
          <w:szCs w:val="24"/>
        </w:rPr>
      </w:pPr>
      <w:r w:rsidRPr="0053193A">
        <w:rPr>
          <w:rFonts w:ascii="Verdana" w:hAnsi="Verdana"/>
          <w:bCs/>
          <w:sz w:val="24"/>
          <w:szCs w:val="24"/>
        </w:rPr>
        <w:t xml:space="preserve">La detección UV se realizó a 254 y 520 nm, con un volumen de inyección de 10 </w:t>
      </w:r>
      <w:proofErr w:type="spellStart"/>
      <w:r w:rsidRPr="0053193A">
        <w:rPr>
          <w:rFonts w:ascii="Verdana" w:hAnsi="Verdana"/>
          <w:bCs/>
          <w:sz w:val="24"/>
          <w:szCs w:val="24"/>
        </w:rPr>
        <w:t>μL</w:t>
      </w:r>
      <w:proofErr w:type="spellEnd"/>
      <w:r w:rsidRPr="0053193A">
        <w:rPr>
          <w:rFonts w:ascii="Verdana" w:hAnsi="Verdana"/>
          <w:bCs/>
          <w:sz w:val="24"/>
          <w:szCs w:val="24"/>
        </w:rPr>
        <w:t xml:space="preserve">. El análisis por espectrometría de masas se efectuó en un espectrómetro de tiempo de vuelo LCT Premier XE TOF (Waters, Milford, MA, EE. UU.) acoplado a una fuente de ionización por </w:t>
      </w:r>
      <w:proofErr w:type="spellStart"/>
      <w:r w:rsidRPr="0053193A">
        <w:rPr>
          <w:rFonts w:ascii="Verdana" w:hAnsi="Verdana"/>
          <w:bCs/>
          <w:sz w:val="24"/>
          <w:szCs w:val="24"/>
        </w:rPr>
        <w:t>electrospray</w:t>
      </w:r>
      <w:proofErr w:type="spellEnd"/>
      <w:r w:rsidRPr="0053193A">
        <w:rPr>
          <w:rFonts w:ascii="Verdana" w:hAnsi="Verdana"/>
          <w:bCs/>
          <w:sz w:val="24"/>
          <w:szCs w:val="24"/>
        </w:rPr>
        <w:t xml:space="preserve">, operando en modo positivo/W. El rango de adquisición se estableció entre m/z 50 y 1200. Los voltajes de capilar y cono se fijaron en 1000 V y 100 V, respectivamente. La temperatura del gas de </w:t>
      </w:r>
      <w:proofErr w:type="spellStart"/>
      <w:r w:rsidRPr="0053193A">
        <w:rPr>
          <w:rFonts w:ascii="Verdana" w:hAnsi="Verdana"/>
          <w:bCs/>
          <w:sz w:val="24"/>
          <w:szCs w:val="24"/>
        </w:rPr>
        <w:t>desolvatación</w:t>
      </w:r>
      <w:proofErr w:type="spellEnd"/>
      <w:r w:rsidRPr="0053193A">
        <w:rPr>
          <w:rFonts w:ascii="Verdana" w:hAnsi="Verdana"/>
          <w:bCs/>
          <w:sz w:val="24"/>
          <w:szCs w:val="24"/>
        </w:rPr>
        <w:t xml:space="preserve"> se ajustó a 350 °C y la de la fuente a 120 °C, con flujos de gas de </w:t>
      </w:r>
      <w:proofErr w:type="spellStart"/>
      <w:r w:rsidRPr="0053193A">
        <w:rPr>
          <w:rFonts w:ascii="Verdana" w:hAnsi="Verdana"/>
          <w:bCs/>
          <w:sz w:val="24"/>
          <w:szCs w:val="24"/>
        </w:rPr>
        <w:t>desolvatación</w:t>
      </w:r>
      <w:proofErr w:type="spellEnd"/>
      <w:r w:rsidRPr="0053193A">
        <w:rPr>
          <w:rFonts w:ascii="Verdana" w:hAnsi="Verdana"/>
          <w:bCs/>
          <w:sz w:val="24"/>
          <w:szCs w:val="24"/>
        </w:rPr>
        <w:t xml:space="preserve"> y de cono de 600 y 30 L/h, respectivamente.</w:t>
      </w:r>
    </w:p>
    <w:p w:rsidRPr="001D114E" w:rsidR="00A316A5" w:rsidP="001D114E" w:rsidRDefault="0053193A" w14:paraId="28A443D1" w14:textId="4B9E7A27">
      <w:pPr>
        <w:jc w:val="both"/>
        <w:rPr>
          <w:rFonts w:ascii="Verdana" w:hAnsi="Verdana"/>
          <w:bCs/>
          <w:sz w:val="24"/>
          <w:szCs w:val="24"/>
        </w:rPr>
      </w:pPr>
      <w:r w:rsidRPr="0053193A">
        <w:rPr>
          <w:rFonts w:ascii="Verdana" w:hAnsi="Verdana"/>
          <w:bCs/>
          <w:sz w:val="24"/>
          <w:szCs w:val="24"/>
        </w:rPr>
        <w:t xml:space="preserve">El procesamiento de cromatogramas y espectros se realizó mediante el software </w:t>
      </w:r>
      <w:proofErr w:type="spellStart"/>
      <w:r w:rsidRPr="0053193A">
        <w:rPr>
          <w:rFonts w:ascii="Verdana" w:hAnsi="Verdana"/>
          <w:bCs/>
          <w:sz w:val="24"/>
          <w:szCs w:val="24"/>
        </w:rPr>
        <w:t>MassLynx</w:t>
      </w:r>
      <w:proofErr w:type="spellEnd"/>
      <w:r w:rsidRPr="0053193A">
        <w:rPr>
          <w:rFonts w:ascii="Verdana" w:hAnsi="Verdana"/>
          <w:bCs/>
          <w:sz w:val="24"/>
          <w:szCs w:val="24"/>
        </w:rPr>
        <w:t xml:space="preserve"> v4.1 (Waters, Milford, MA, EE. UU.).</w:t>
      </w:r>
    </w:p>
    <w:p w:rsidR="00E71CFF" w:rsidP="007A61C1" w:rsidRDefault="00E71CFF" w14:paraId="76602D62" w14:textId="77777777">
      <w:pPr>
        <w:rPr>
          <w:rFonts w:ascii="Verdana" w:hAnsi="Verdana"/>
          <w:b/>
          <w:sz w:val="24"/>
          <w:szCs w:val="24"/>
        </w:rPr>
      </w:pPr>
      <w:r w:rsidRPr="00E71CFF">
        <w:rPr>
          <w:rFonts w:ascii="Verdana" w:hAnsi="Verdana"/>
          <w:b/>
          <w:sz w:val="24"/>
          <w:szCs w:val="24"/>
        </w:rPr>
        <w:lastRenderedPageBreak/>
        <w:t>RESULTADOS.</w:t>
      </w:r>
    </w:p>
    <w:p w:rsidR="000B228D" w:rsidP="007A61C1" w:rsidRDefault="00A316A5" w14:paraId="2478348C" w14:textId="2122383B">
      <w:pPr>
        <w:rPr>
          <w:rFonts w:ascii="Verdana" w:hAnsi="Verdana"/>
          <w:b/>
          <w:sz w:val="24"/>
          <w:szCs w:val="24"/>
        </w:rPr>
      </w:pPr>
      <w:r>
        <w:rPr>
          <w:rFonts w:ascii="Verdana" w:hAnsi="Verdana"/>
          <w:b/>
          <w:sz w:val="24"/>
          <w:szCs w:val="24"/>
        </w:rPr>
        <w:t xml:space="preserve">Aspecto visual: </w:t>
      </w:r>
    </w:p>
    <w:p w:rsidRPr="00516874" w:rsidR="00F735B6" w:rsidP="00516874" w:rsidRDefault="00516874" w14:paraId="427D24FC" w14:textId="60B51D71">
      <w:pPr>
        <w:jc w:val="both"/>
        <w:rPr>
          <w:rFonts w:ascii="Verdana" w:hAnsi="Verdana"/>
          <w:bCs/>
          <w:sz w:val="24"/>
          <w:szCs w:val="24"/>
        </w:rPr>
      </w:pPr>
      <w:r w:rsidRPr="00516874">
        <w:rPr>
          <w:rFonts w:ascii="Verdana" w:hAnsi="Verdana"/>
          <w:bCs/>
          <w:sz w:val="24"/>
          <w:szCs w:val="24"/>
        </w:rPr>
        <w:t xml:space="preserve">Los extractos obtenidos empleando diferentes tratamientos: solvente, pH y </w:t>
      </w:r>
      <w:r w:rsidR="003C7869">
        <w:rPr>
          <w:rFonts w:ascii="Verdana" w:hAnsi="Verdana"/>
          <w:bCs/>
          <w:sz w:val="24"/>
          <w:szCs w:val="24"/>
        </w:rPr>
        <w:t>frecuencia</w:t>
      </w:r>
      <w:r>
        <w:rPr>
          <w:rFonts w:ascii="Verdana" w:hAnsi="Verdana"/>
          <w:bCs/>
          <w:sz w:val="24"/>
          <w:szCs w:val="24"/>
        </w:rPr>
        <w:t xml:space="preserve"> presentaron tonalidades entre rojo (pH 2.0) a amarillo (pH</w:t>
      </w:r>
      <w:r w:rsidR="00BB15E9">
        <w:rPr>
          <w:rFonts w:ascii="Verdana" w:hAnsi="Verdana"/>
          <w:bCs/>
          <w:sz w:val="24"/>
          <w:szCs w:val="24"/>
        </w:rPr>
        <w:t xml:space="preserve"> </w:t>
      </w:r>
      <w:r>
        <w:rPr>
          <w:rFonts w:ascii="Verdana" w:hAnsi="Verdana"/>
          <w:bCs/>
          <w:sz w:val="24"/>
          <w:szCs w:val="24"/>
        </w:rPr>
        <w:t>5.0)</w:t>
      </w:r>
      <w:r w:rsidR="00BB15E9">
        <w:rPr>
          <w:rFonts w:ascii="Verdana" w:hAnsi="Verdana"/>
          <w:bCs/>
          <w:sz w:val="24"/>
          <w:szCs w:val="24"/>
        </w:rPr>
        <w:t xml:space="preserve"> (Figura 2). </w:t>
      </w:r>
      <w:r w:rsidR="00694955">
        <w:rPr>
          <w:rFonts w:ascii="Verdana" w:hAnsi="Verdana"/>
          <w:bCs/>
          <w:sz w:val="24"/>
          <w:szCs w:val="24"/>
        </w:rPr>
        <w:t xml:space="preserve">Considerando que el componente principal del pericarpio del mangostino son las antocianinas. </w:t>
      </w:r>
      <w:r w:rsidR="00213A64">
        <w:rPr>
          <w:rFonts w:ascii="Verdana" w:hAnsi="Verdana"/>
          <w:bCs/>
          <w:sz w:val="24"/>
          <w:szCs w:val="24"/>
        </w:rPr>
        <w:t>Las extracciones empleando solventes a pH ácidos,</w:t>
      </w:r>
      <w:r w:rsidR="00694955">
        <w:rPr>
          <w:rFonts w:ascii="Verdana" w:hAnsi="Verdana"/>
          <w:bCs/>
          <w:sz w:val="24"/>
          <w:szCs w:val="24"/>
        </w:rPr>
        <w:t xml:space="preserve"> como el ácido cítrico,</w:t>
      </w:r>
      <w:r w:rsidR="00213A64">
        <w:rPr>
          <w:rFonts w:ascii="Verdana" w:hAnsi="Verdana"/>
          <w:bCs/>
          <w:sz w:val="24"/>
          <w:szCs w:val="24"/>
        </w:rPr>
        <w:t xml:space="preserve"> </w:t>
      </w:r>
      <w:r w:rsidRPr="00694955" w:rsidR="00694955">
        <w:rPr>
          <w:rFonts w:ascii="Verdana" w:hAnsi="Verdana"/>
          <w:bCs/>
          <w:sz w:val="24"/>
          <w:szCs w:val="24"/>
        </w:rPr>
        <w:t>ayuda a romper las membranas de la pared celular</w:t>
      </w:r>
      <w:r w:rsidR="00694955">
        <w:rPr>
          <w:rFonts w:ascii="Verdana" w:hAnsi="Verdana"/>
          <w:bCs/>
          <w:sz w:val="24"/>
          <w:szCs w:val="24"/>
        </w:rPr>
        <w:t xml:space="preserve">, lo </w:t>
      </w:r>
      <w:r w:rsidR="00213A64">
        <w:rPr>
          <w:rFonts w:ascii="Verdana" w:hAnsi="Verdana"/>
          <w:bCs/>
          <w:sz w:val="24"/>
          <w:szCs w:val="24"/>
        </w:rPr>
        <w:t>permite la obtención de un mayor contenido de antocianinas</w:t>
      </w:r>
      <w:r w:rsidR="00AD119E">
        <w:rPr>
          <w:rFonts w:ascii="Verdana" w:hAnsi="Verdana"/>
          <w:bCs/>
          <w:sz w:val="24"/>
          <w:szCs w:val="24"/>
        </w:rPr>
        <w:t xml:space="preserve"> </w:t>
      </w:r>
      <w:r w:rsidR="00AD119E">
        <w:rPr>
          <w:rFonts w:ascii="Verdana" w:hAnsi="Verdana"/>
          <w:bCs/>
          <w:sz w:val="24"/>
          <w:szCs w:val="24"/>
        </w:rPr>
        <w:fldChar w:fldCharType="begin" w:fldLock="1"/>
      </w:r>
      <w:r w:rsidR="000C39B8">
        <w:rPr>
          <w:rFonts w:ascii="Verdana" w:hAnsi="Verdana"/>
          <w:bCs/>
          <w:sz w:val="24"/>
          <w:szCs w:val="24"/>
        </w:rPr>
        <w:instrText>ADDIN CSL_CITATION {"citationItems":[{"id":"ITEM-1","itemData":{"DOI":"10.1016/j.focha.2023.100559","ISSN":"2772753X","author":[{"dropping-particle":"","family":"Netravati","given":"","non-dropping-particle":"","parse-names":false,"suffix":""},{"dropping-particle":"","family":"Gomez","given":"Saji","non-dropping-particle":"","parse-names":false,"suffix":""},{"dropping-particle":"","family":"Pathrose","given":"Berin","non-dropping-particle":"","parse-names":false,"suffix":""},{"dropping-particle":"","family":"Joseph","given":"Meagle","non-dropping-particle":"","parse-names":false,"suffix":""},{"dropping-particle":"","family":"Shynu","given":"M.","non-dropping-particle":"","parse-names":false,"suffix":""},{"dropping-particle":"","family":"Kuruvila","given":"Bintu","non-dropping-particle":"","parse-names":false,"suffix":""}],"container-title":"Food Chemistry Advances","id":"ITEM-1","issued":{"date-parts":[["2024","6"]]},"page":"100559","title":"Comparison of extraction methods on anthocyanin pigment attributes from mangosteen (Garcinia mangostana L.) fruit rind as potential food colourant","type":"article-journal","volume":"4"},"uris":["http://www.mendeley.com/documents/?uuid=3d4f67f0-0961-4a7f-aea8-526a51a4fc96","http://www.mendeley.com/documents/?uuid=9b2ffd01-2be8-45f5-bafa-59dc8c38f087"]}],"mendeley":{"formattedCitation":"(Netravati et al., 2024)","plainTextFormattedCitation":"(Netravati et al., 2024)","previouslyFormattedCitation":"(Netravati et al., 2024)"},"properties":{"noteIndex":0},"schema":"https://github.com/citation-style-language/schema/raw/master/csl-citation.json"}</w:instrText>
      </w:r>
      <w:r w:rsidR="00AD119E">
        <w:rPr>
          <w:rFonts w:ascii="Verdana" w:hAnsi="Verdana"/>
          <w:bCs/>
          <w:sz w:val="24"/>
          <w:szCs w:val="24"/>
        </w:rPr>
        <w:fldChar w:fldCharType="separate"/>
      </w:r>
      <w:r w:rsidRPr="00AD119E" w:rsidR="00AD119E">
        <w:rPr>
          <w:rFonts w:ascii="Verdana" w:hAnsi="Verdana"/>
          <w:bCs/>
          <w:noProof/>
          <w:sz w:val="24"/>
          <w:szCs w:val="24"/>
        </w:rPr>
        <w:t>(Netravati et al., 2024)</w:t>
      </w:r>
      <w:r w:rsidR="00AD119E">
        <w:rPr>
          <w:rFonts w:ascii="Verdana" w:hAnsi="Verdana"/>
          <w:bCs/>
          <w:sz w:val="24"/>
          <w:szCs w:val="24"/>
        </w:rPr>
        <w:fldChar w:fldCharType="end"/>
      </w:r>
      <w:r w:rsidR="00213A64">
        <w:rPr>
          <w:rFonts w:ascii="Verdana" w:hAnsi="Verdana"/>
          <w:bCs/>
          <w:sz w:val="24"/>
          <w:szCs w:val="24"/>
        </w:rPr>
        <w:t>, las cuales en su naturaleza presentan una coloración roja</w:t>
      </w:r>
      <w:r w:rsidR="00CE1CC3">
        <w:rPr>
          <w:rFonts w:ascii="Verdana" w:hAnsi="Verdana"/>
          <w:bCs/>
          <w:sz w:val="24"/>
          <w:szCs w:val="24"/>
        </w:rPr>
        <w:t>, azul y morada</w:t>
      </w:r>
      <w:r w:rsidR="00213A64">
        <w:rPr>
          <w:rFonts w:ascii="Verdana" w:hAnsi="Verdana"/>
          <w:bCs/>
          <w:sz w:val="24"/>
          <w:szCs w:val="24"/>
        </w:rPr>
        <w:t xml:space="preserve">; </w:t>
      </w:r>
      <w:r w:rsidR="00F735B6">
        <w:rPr>
          <w:rFonts w:ascii="Verdana" w:hAnsi="Verdana"/>
          <w:bCs/>
          <w:sz w:val="24"/>
          <w:szCs w:val="24"/>
        </w:rPr>
        <w:t xml:space="preserve">así mismo, estas presentan una mayor </w:t>
      </w:r>
      <w:r w:rsidRPr="00F735B6" w:rsidR="00F735B6">
        <w:rPr>
          <w:rFonts w:ascii="Verdana" w:hAnsi="Verdana"/>
          <w:bCs/>
          <w:sz w:val="24"/>
          <w:szCs w:val="24"/>
        </w:rPr>
        <w:t>estabilidad en ambientes con un pH inferior a 3,0, debido a la alta concentración de iones H</w:t>
      </w:r>
      <w:r w:rsidRPr="00F735B6" w:rsidR="00F735B6">
        <w:rPr>
          <w:rFonts w:ascii="Verdana" w:hAnsi="Verdana"/>
          <w:bCs/>
          <w:sz w:val="24"/>
          <w:szCs w:val="24"/>
          <w:vertAlign w:val="superscript"/>
        </w:rPr>
        <w:t>+</w:t>
      </w:r>
      <w:r w:rsidRPr="00F735B6" w:rsidR="00F735B6">
        <w:rPr>
          <w:rFonts w:ascii="Verdana" w:hAnsi="Verdana"/>
          <w:bCs/>
          <w:sz w:val="24"/>
          <w:szCs w:val="24"/>
        </w:rPr>
        <w:t xml:space="preserve"> </w:t>
      </w:r>
      <w:r w:rsidR="00F735B6">
        <w:rPr>
          <w:rFonts w:ascii="Verdana" w:hAnsi="Verdana"/>
          <w:bCs/>
          <w:sz w:val="24"/>
          <w:szCs w:val="24"/>
        </w:rPr>
        <w:fldChar w:fldCharType="begin" w:fldLock="1"/>
      </w:r>
      <w:r w:rsidR="00E514BB">
        <w:rPr>
          <w:rFonts w:ascii="Verdana" w:hAnsi="Verdana"/>
          <w:bCs/>
          <w:sz w:val="24"/>
          <w:szCs w:val="24"/>
        </w:rPr>
        <w:instrText>ADDIN CSL_CITATION {"citationItems":[{"id":"ITEM-1","itemData":{"DOI":"10.1016/j.ijbiomac.2023.126663","ISSN":"01418130","author":[{"dropping-particle":"","family":"Liu","given":"Yutong","non-dropping-particle":"","parse-names":false,"suffix":""},{"dropping-particle":"","family":"Tong","given":"YingJia","non-dropping-particle":"","parse-names":false,"suffix":""},{"dropping-particle":"","family":"Tong","given":"Qunyi","non-dropping-particle":"","parse-names":false,"suffix":""},{"dropping-particle":"","family":"Xu","given":"Wentian","non-dropping-particle":"","parse-names":false,"suffix":""},{"dropping-particle":"","family":"Wang","given":"Zeqing","non-dropping-particle":"","parse-names":false,"suffix":""}],"container-title":"International Journal of Biological Macromolecules","id":"ITEM-1","issued":{"date-parts":[["2023","12"]]},"page":"126663","title":"Effects of sunflower pectin on thermal stability of purple sweet potato anthocyanins at different pH","type":"article-journal","volume":"253"},"uris":["http://www.mendeley.com/documents/?uuid=9c43238b-0d64-4b2c-bf40-ca096e9253db","http://www.mendeley.com/documents/?uuid=f258faf7-89d3-4ed5-a964-50b1993a3c75"]}],"mendeley":{"formattedCitation":"(Yutong Liu, Tong, Tong, Xu, &amp; Wang, 2023)","plainTextFormattedCitation":"(Yutong Liu, Tong, Tong, Xu, &amp; Wang, 2023)","previouslyFormattedCitation":"(Yutong Liu, Tong, Tong, Xu, &amp; Wang, 2023)"},"properties":{"noteIndex":0},"schema":"https://github.com/citation-style-language/schema/raw/master/csl-citation.json"}</w:instrText>
      </w:r>
      <w:r w:rsidR="00F735B6">
        <w:rPr>
          <w:rFonts w:ascii="Verdana" w:hAnsi="Verdana"/>
          <w:bCs/>
          <w:sz w:val="24"/>
          <w:szCs w:val="24"/>
        </w:rPr>
        <w:fldChar w:fldCharType="separate"/>
      </w:r>
      <w:r w:rsidRPr="000C39B8" w:rsidR="000C39B8">
        <w:rPr>
          <w:rFonts w:ascii="Verdana" w:hAnsi="Verdana"/>
          <w:bCs/>
          <w:noProof/>
          <w:sz w:val="24"/>
          <w:szCs w:val="24"/>
        </w:rPr>
        <w:t>(Yutong Liu, Tong, Tong, Xu, &amp; Wang, 2023)</w:t>
      </w:r>
      <w:r w:rsidR="00F735B6">
        <w:rPr>
          <w:rFonts w:ascii="Verdana" w:hAnsi="Verdana"/>
          <w:bCs/>
          <w:sz w:val="24"/>
          <w:szCs w:val="24"/>
        </w:rPr>
        <w:fldChar w:fldCharType="end"/>
      </w:r>
      <w:r w:rsidR="00F735B6">
        <w:rPr>
          <w:rFonts w:ascii="Verdana" w:hAnsi="Verdana"/>
          <w:bCs/>
          <w:sz w:val="24"/>
          <w:szCs w:val="24"/>
        </w:rPr>
        <w:t>.</w:t>
      </w:r>
      <w:r w:rsidRPr="00F735B6" w:rsidR="00F735B6">
        <w:rPr>
          <w:rFonts w:ascii="Verdana" w:hAnsi="Verdana"/>
          <w:bCs/>
          <w:sz w:val="24"/>
          <w:szCs w:val="24"/>
        </w:rPr>
        <w:t xml:space="preserve"> En estas condiciones ácidas, estas sustancias se presentan en forma de cationes </w:t>
      </w:r>
      <w:proofErr w:type="spellStart"/>
      <w:r w:rsidRPr="00F735B6" w:rsidR="00F735B6">
        <w:rPr>
          <w:rFonts w:ascii="Verdana" w:hAnsi="Verdana"/>
          <w:bCs/>
          <w:sz w:val="24"/>
          <w:szCs w:val="24"/>
        </w:rPr>
        <w:t>flavilio</w:t>
      </w:r>
      <w:proofErr w:type="spellEnd"/>
      <w:r w:rsidRPr="00F735B6" w:rsidR="00F735B6">
        <w:rPr>
          <w:rFonts w:ascii="Verdana" w:hAnsi="Verdana"/>
          <w:bCs/>
          <w:sz w:val="24"/>
          <w:szCs w:val="24"/>
        </w:rPr>
        <w:t>, lo que les confiere un espectro de color más intenso, que va del rojo al naranja</w:t>
      </w:r>
      <w:r w:rsidR="00F735B6">
        <w:rPr>
          <w:rFonts w:ascii="Verdana" w:hAnsi="Verdana"/>
          <w:bCs/>
          <w:sz w:val="24"/>
          <w:szCs w:val="24"/>
        </w:rPr>
        <w:t xml:space="preserve"> </w:t>
      </w:r>
      <w:r w:rsidR="00F735B6">
        <w:rPr>
          <w:rFonts w:ascii="Verdana" w:hAnsi="Verdana"/>
          <w:bCs/>
          <w:sz w:val="24"/>
          <w:szCs w:val="24"/>
        </w:rPr>
        <w:fldChar w:fldCharType="begin" w:fldLock="1"/>
      </w:r>
      <w:r w:rsidR="000C39B8">
        <w:rPr>
          <w:rFonts w:ascii="Verdana" w:hAnsi="Verdana"/>
          <w:bCs/>
          <w:sz w:val="24"/>
          <w:szCs w:val="24"/>
        </w:rPr>
        <w:instrText>ADDIN CSL_CITATION {"citationItems":[{"id":"ITEM-1","itemData":{"DOI":"10.1016/j.sajb.2024.12.005","ISSN":"02546299","author":[{"dropping-particle":"","family":"Cavanholi","given":"Monnik Gandin","non-dropping-particle":"","parse-names":false,"suffix":""},{"dropping-particle":"","family":"Wanderley","given":"Bruna Rafaela da Silva Monteiro","non-dropping-particle":"","parse-names":false,"suffix":""},{"dropping-particle":"","family":"Bredun","given":"Maiara Arbigaus","non-dropping-particle":"","parse-names":false,"suffix":""},{"dropping-particle":"","family":"Louredo","given":"Francisca Jamila Correia","non-dropping-particle":"","parse-names":false,"suffix":""},{"dropping-particle":"","family":"Santos","given":"Adriane Costa","non-dropping-particle":"dos","parse-names":false,"suffix":""},{"dropping-particle":"","family":"Costa","given":"Ana Carolina Oliveira","non-dropping-particle":"","parse-names":false,"suffix":""},{"dropping-particle":"","family":"Burin","given":"Vivian Maria","non-dropping-particle":"","parse-names":false,"suffix":""},{"dropping-particle":"","family":"Amboni","given":"Renata Dias De Mello Castanho","non-dropping-particle":"","parse-names":false,"suffix":""},{"dropping-particle":"","family":"Fritzen-Freire","given":"Carlise Beddin","non-dropping-particle":"","parse-names":false,"suffix":""}],"container-title":"South African Journal of Botany","id":"ITEM-1","issued":{"date-parts":[["2025","2"]]},"page":"251-263","title":"How do pH reduction and the addition of potassium metabisulfite impact colour and the phenolic and anthocyanin profiles in red araçá (Psidium cattleianum Sabine) wine?","type":"article-journal","volume":"177"},"uris":["http://www.mendeley.com/documents/?uuid=f77fb63f-a520-421e-99ca-9ef65acab36a","http://www.mendeley.com/documents/?uuid=e009afc0-3ba2-43ed-b8c9-8d7dd63dffed"]}],"mendeley":{"formattedCitation":"(Cavanholi et al., 2025)","plainTextFormattedCitation":"(Cavanholi et al., 2025)","previouslyFormattedCitation":"(Cavanholi et al., 2025)"},"properties":{"noteIndex":0},"schema":"https://github.com/citation-style-language/schema/raw/master/csl-citation.json"}</w:instrText>
      </w:r>
      <w:r w:rsidR="00F735B6">
        <w:rPr>
          <w:rFonts w:ascii="Verdana" w:hAnsi="Verdana"/>
          <w:bCs/>
          <w:sz w:val="24"/>
          <w:szCs w:val="24"/>
        </w:rPr>
        <w:fldChar w:fldCharType="separate"/>
      </w:r>
      <w:r w:rsidRPr="00F735B6" w:rsidR="00F735B6">
        <w:rPr>
          <w:rFonts w:ascii="Verdana" w:hAnsi="Verdana"/>
          <w:bCs/>
          <w:noProof/>
          <w:sz w:val="24"/>
          <w:szCs w:val="24"/>
        </w:rPr>
        <w:t>(Cavanholi et al., 2025)</w:t>
      </w:r>
      <w:r w:rsidR="00F735B6">
        <w:rPr>
          <w:rFonts w:ascii="Verdana" w:hAnsi="Verdana"/>
          <w:bCs/>
          <w:sz w:val="24"/>
          <w:szCs w:val="24"/>
        </w:rPr>
        <w:fldChar w:fldCharType="end"/>
      </w:r>
      <w:r w:rsidR="00F735B6">
        <w:rPr>
          <w:rFonts w:ascii="Verdana" w:hAnsi="Verdana"/>
          <w:bCs/>
          <w:sz w:val="24"/>
          <w:szCs w:val="24"/>
        </w:rPr>
        <w:t xml:space="preserve">. Así mismo, al aumentar el pH, </w:t>
      </w:r>
      <w:r w:rsidR="00AD119E">
        <w:rPr>
          <w:rFonts w:ascii="Verdana" w:hAnsi="Verdana"/>
          <w:bCs/>
          <w:sz w:val="24"/>
          <w:szCs w:val="24"/>
        </w:rPr>
        <w:t xml:space="preserve">se disminuye el contenido de antocianinas extraídas, así como </w:t>
      </w:r>
      <w:r w:rsidR="00F735B6">
        <w:rPr>
          <w:rFonts w:ascii="Verdana" w:hAnsi="Verdana"/>
          <w:bCs/>
          <w:sz w:val="24"/>
          <w:szCs w:val="24"/>
        </w:rPr>
        <w:t>se obtienen otros compuestos fenólicos también del tipo flavonoides, como la quercetina, los cuales tien</w:t>
      </w:r>
      <w:r w:rsidR="00FC5BD0">
        <w:rPr>
          <w:rFonts w:ascii="Verdana" w:hAnsi="Verdana"/>
          <w:bCs/>
          <w:sz w:val="24"/>
          <w:szCs w:val="24"/>
        </w:rPr>
        <w:t>d</w:t>
      </w:r>
      <w:r w:rsidR="00F735B6">
        <w:rPr>
          <w:rFonts w:ascii="Verdana" w:hAnsi="Verdana"/>
          <w:bCs/>
          <w:sz w:val="24"/>
          <w:szCs w:val="24"/>
        </w:rPr>
        <w:t xml:space="preserve">en a tonalidades </w:t>
      </w:r>
      <w:r w:rsidR="00036F92">
        <w:rPr>
          <w:rFonts w:ascii="Verdana" w:hAnsi="Verdana"/>
          <w:bCs/>
          <w:sz w:val="24"/>
          <w:szCs w:val="24"/>
        </w:rPr>
        <w:t>d</w:t>
      </w:r>
      <w:r w:rsidR="00F735B6">
        <w:rPr>
          <w:rFonts w:ascii="Verdana" w:hAnsi="Verdana"/>
          <w:bCs/>
          <w:sz w:val="24"/>
          <w:szCs w:val="24"/>
        </w:rPr>
        <w:t>el amarillo-marrón</w:t>
      </w:r>
      <w:r w:rsidR="00AD119E">
        <w:rPr>
          <w:rFonts w:ascii="Verdana" w:hAnsi="Verdana"/>
          <w:bCs/>
          <w:sz w:val="24"/>
          <w:szCs w:val="24"/>
        </w:rPr>
        <w:t xml:space="preserve"> </w:t>
      </w:r>
      <w:r w:rsidR="00AD119E">
        <w:rPr>
          <w:rFonts w:ascii="Verdana" w:hAnsi="Verdana"/>
          <w:bCs/>
          <w:sz w:val="24"/>
          <w:szCs w:val="24"/>
        </w:rPr>
        <w:fldChar w:fldCharType="begin" w:fldLock="1"/>
      </w:r>
      <w:r w:rsidR="000C39B8">
        <w:rPr>
          <w:rFonts w:ascii="Verdana" w:hAnsi="Verdana"/>
          <w:bCs/>
          <w:sz w:val="24"/>
          <w:szCs w:val="24"/>
        </w:rPr>
        <w:instrText>ADDIN CSL_CITATION {"citationItems":[{"id":"ITEM-1","itemData":{"DOI":"10.1016/j.focha.2023.100559","ISSN":"2772753X","author":[{"dropping-particle":"","family":"Netravati","given":"","non-dropping-particle":"","parse-names":false,"suffix":""},{"dropping-particle":"","family":"Gomez","given":"Saji","non-dropping-particle":"","parse-names":false,"suffix":""},{"dropping-particle":"","family":"Pathrose","given":"Berin","non-dropping-particle":"","parse-names":false,"suffix":""},{"dropping-particle":"","family":"Joseph","given":"Meagle","non-dropping-particle":"","parse-names":false,"suffix":""},{"dropping-particle":"","family":"Shynu","given":"M.","non-dropping-particle":"","parse-names":false,"suffix":""},{"dropping-particle":"","family":"Kuruvila","given":"Bintu","non-dropping-particle":"","parse-names":false,"suffix":""}],"container-title":"Food Chemistry Advances","id":"ITEM-1","issued":{"date-parts":[["2024","6"]]},"page":"100559","title":"Comparison of extraction methods on anthocyanin pigment attributes from mangosteen (Garcinia mangostana L.) fruit rind as potential food colourant","type":"article-journal","volume":"4"},"uris":["http://www.mendeley.com/documents/?uuid=3d4f67f0-0961-4a7f-aea8-526a51a4fc96","http://www.mendeley.com/documents/?uuid=9b2ffd01-2be8-45f5-bafa-59dc8c38f087"]}],"mendeley":{"formattedCitation":"(Netravati et al., 2024)","plainTextFormattedCitation":"(Netravati et al., 2024)","previouslyFormattedCitation":"(Netravati et al., 2024)"},"properties":{"noteIndex":0},"schema":"https://github.com/citation-style-language/schema/raw/master/csl-citation.json"}</w:instrText>
      </w:r>
      <w:r w:rsidR="00AD119E">
        <w:rPr>
          <w:rFonts w:ascii="Verdana" w:hAnsi="Verdana"/>
          <w:bCs/>
          <w:sz w:val="24"/>
          <w:szCs w:val="24"/>
        </w:rPr>
        <w:fldChar w:fldCharType="separate"/>
      </w:r>
      <w:r w:rsidRPr="00AD119E" w:rsidR="00AD119E">
        <w:rPr>
          <w:rFonts w:ascii="Verdana" w:hAnsi="Verdana"/>
          <w:bCs/>
          <w:noProof/>
          <w:sz w:val="24"/>
          <w:szCs w:val="24"/>
        </w:rPr>
        <w:t>(Netravati et al., 2024)</w:t>
      </w:r>
      <w:r w:rsidR="00AD119E">
        <w:rPr>
          <w:rFonts w:ascii="Verdana" w:hAnsi="Verdana"/>
          <w:bCs/>
          <w:sz w:val="24"/>
          <w:szCs w:val="24"/>
        </w:rPr>
        <w:fldChar w:fldCharType="end"/>
      </w:r>
      <w:r w:rsidR="00F735B6">
        <w:rPr>
          <w:rFonts w:ascii="Verdana" w:hAnsi="Verdana"/>
          <w:bCs/>
          <w:sz w:val="24"/>
          <w:szCs w:val="24"/>
        </w:rPr>
        <w:t xml:space="preserve">. </w:t>
      </w:r>
    </w:p>
    <w:p w:rsidR="00A316A5" w:rsidP="007A61C1" w:rsidRDefault="00A316A5" w14:paraId="60A6985A" w14:textId="3A11058B">
      <w:pPr>
        <w:rPr>
          <w:rFonts w:ascii="Verdana" w:hAnsi="Verdana"/>
          <w:b/>
          <w:sz w:val="24"/>
          <w:szCs w:val="24"/>
        </w:rPr>
      </w:pPr>
      <w:r w:rsidRPr="00A316A5">
        <w:rPr>
          <w:rFonts w:ascii="Verdana" w:hAnsi="Verdana"/>
          <w:b/>
          <w:noProof/>
          <w:sz w:val="24"/>
          <w:szCs w:val="24"/>
        </w:rPr>
        <w:drawing>
          <wp:inline distT="0" distB="0" distL="0" distR="0" wp14:anchorId="3B9CD0D6" wp14:editId="182C8A20">
            <wp:extent cx="5612130" cy="168846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1688465"/>
                    </a:xfrm>
                    <a:prstGeom prst="rect">
                      <a:avLst/>
                    </a:prstGeom>
                  </pic:spPr>
                </pic:pic>
              </a:graphicData>
            </a:graphic>
          </wp:inline>
        </w:drawing>
      </w:r>
    </w:p>
    <w:p w:rsidRPr="00C516AE" w:rsidR="00A316A5" w:rsidP="3CEB8552" w:rsidRDefault="00A316A5" w14:paraId="1537B7C2" w14:textId="527DF2D5">
      <w:pPr>
        <w:jc w:val="both"/>
        <w:rPr>
          <w:rFonts w:ascii="Verdana" w:hAnsi="Verdana"/>
          <w:sz w:val="20"/>
          <w:szCs w:val="20"/>
          <w:lang w:val="pt-BR"/>
        </w:rPr>
      </w:pPr>
      <w:r w:rsidRPr="3CEB8552">
        <w:rPr>
          <w:rFonts w:ascii="Verdana" w:hAnsi="Verdana"/>
          <w:b/>
          <w:bCs/>
          <w:i/>
          <w:iCs/>
          <w:sz w:val="20"/>
          <w:szCs w:val="20"/>
          <w:lang w:val="pt-BR"/>
        </w:rPr>
        <w:t>Figura 2.</w:t>
      </w:r>
      <w:r w:rsidRPr="3CEB8552">
        <w:rPr>
          <w:rFonts w:ascii="Verdana" w:hAnsi="Verdana"/>
          <w:b/>
          <w:bCs/>
          <w:sz w:val="20"/>
          <w:szCs w:val="20"/>
          <w:lang w:val="pt-BR"/>
        </w:rPr>
        <w:t xml:space="preserve"> </w:t>
      </w:r>
      <w:r w:rsidRPr="3CEB8552">
        <w:rPr>
          <w:rFonts w:ascii="Verdana" w:hAnsi="Verdana"/>
          <w:sz w:val="20"/>
          <w:szCs w:val="20"/>
          <w:lang w:val="pt-BR"/>
        </w:rPr>
        <w:t xml:space="preserve">Aspecto visual de </w:t>
      </w:r>
      <w:proofErr w:type="spellStart"/>
      <w:r w:rsidRPr="3CEB8552">
        <w:rPr>
          <w:rFonts w:ascii="Verdana" w:hAnsi="Verdana"/>
          <w:sz w:val="20"/>
          <w:szCs w:val="20"/>
          <w:lang w:val="pt-BR"/>
        </w:rPr>
        <w:t>los</w:t>
      </w:r>
      <w:proofErr w:type="spellEnd"/>
      <w:r w:rsidRPr="3CEB8552">
        <w:rPr>
          <w:rFonts w:ascii="Verdana" w:hAnsi="Verdana"/>
          <w:sz w:val="20"/>
          <w:szCs w:val="20"/>
          <w:lang w:val="pt-BR"/>
        </w:rPr>
        <w:t xml:space="preserve"> </w:t>
      </w:r>
      <w:proofErr w:type="spellStart"/>
      <w:r w:rsidRPr="3CEB8552">
        <w:rPr>
          <w:rFonts w:ascii="Verdana" w:hAnsi="Verdana"/>
          <w:sz w:val="20"/>
          <w:szCs w:val="20"/>
          <w:lang w:val="pt-BR"/>
        </w:rPr>
        <w:t>extractos</w:t>
      </w:r>
      <w:proofErr w:type="spellEnd"/>
      <w:r w:rsidRPr="3CEB8552">
        <w:rPr>
          <w:rFonts w:ascii="Verdana" w:hAnsi="Verdana"/>
          <w:sz w:val="20"/>
          <w:szCs w:val="20"/>
          <w:lang w:val="pt-BR"/>
        </w:rPr>
        <w:t xml:space="preserve"> </w:t>
      </w:r>
      <w:proofErr w:type="spellStart"/>
      <w:r w:rsidRPr="3CEB8552">
        <w:rPr>
          <w:rFonts w:ascii="Verdana" w:hAnsi="Verdana"/>
          <w:sz w:val="20"/>
          <w:szCs w:val="20"/>
          <w:lang w:val="pt-BR"/>
        </w:rPr>
        <w:t>del</w:t>
      </w:r>
      <w:proofErr w:type="spellEnd"/>
      <w:r w:rsidRPr="3CEB8552">
        <w:rPr>
          <w:rFonts w:ascii="Verdana" w:hAnsi="Verdana"/>
          <w:sz w:val="20"/>
          <w:szCs w:val="20"/>
          <w:lang w:val="pt-BR"/>
        </w:rPr>
        <w:t xml:space="preserve"> </w:t>
      </w:r>
      <w:proofErr w:type="spellStart"/>
      <w:r w:rsidRPr="3CEB8552">
        <w:rPr>
          <w:rFonts w:ascii="Verdana" w:hAnsi="Verdana"/>
          <w:sz w:val="20"/>
          <w:szCs w:val="20"/>
          <w:lang w:val="pt-BR"/>
        </w:rPr>
        <w:t>pericarpio</w:t>
      </w:r>
      <w:proofErr w:type="spellEnd"/>
      <w:r w:rsidRPr="3CEB8552">
        <w:rPr>
          <w:rFonts w:ascii="Verdana" w:hAnsi="Verdana"/>
          <w:sz w:val="20"/>
          <w:szCs w:val="20"/>
          <w:lang w:val="pt-BR"/>
        </w:rPr>
        <w:t xml:space="preserve"> de </w:t>
      </w:r>
      <w:proofErr w:type="spellStart"/>
      <w:r w:rsidRPr="3CEB8552">
        <w:rPr>
          <w:rFonts w:ascii="Verdana" w:hAnsi="Verdana"/>
          <w:sz w:val="20"/>
          <w:szCs w:val="20"/>
          <w:lang w:val="pt-BR"/>
        </w:rPr>
        <w:t>mangostino</w:t>
      </w:r>
      <w:proofErr w:type="spellEnd"/>
      <w:r w:rsidRPr="3CEB8552">
        <w:rPr>
          <w:rFonts w:ascii="Verdana" w:hAnsi="Verdana"/>
          <w:sz w:val="20"/>
          <w:szCs w:val="20"/>
          <w:lang w:val="pt-BR"/>
        </w:rPr>
        <w:t xml:space="preserve"> (</w:t>
      </w:r>
      <w:proofErr w:type="spellStart"/>
      <w:r w:rsidRPr="3CEB8552">
        <w:rPr>
          <w:rFonts w:ascii="Verdana" w:hAnsi="Verdana"/>
          <w:i/>
          <w:iCs/>
          <w:sz w:val="20"/>
          <w:szCs w:val="20"/>
          <w:lang w:val="pt-BR"/>
        </w:rPr>
        <w:t>Garcini</w:t>
      </w:r>
      <w:proofErr w:type="spellEnd"/>
      <w:r w:rsidRPr="3CEB8552">
        <w:rPr>
          <w:rFonts w:ascii="Verdana" w:hAnsi="Verdana"/>
          <w:i/>
          <w:iCs/>
          <w:sz w:val="20"/>
          <w:szCs w:val="20"/>
          <w:lang w:val="pt-BR"/>
        </w:rPr>
        <w:t xml:space="preserve"> </w:t>
      </w:r>
      <w:proofErr w:type="spellStart"/>
      <w:r w:rsidRPr="3CEB8552">
        <w:rPr>
          <w:rFonts w:ascii="Verdana" w:hAnsi="Verdana"/>
          <w:i/>
          <w:iCs/>
          <w:sz w:val="20"/>
          <w:szCs w:val="20"/>
          <w:lang w:val="pt-BR"/>
        </w:rPr>
        <w:t>mangostana</w:t>
      </w:r>
      <w:proofErr w:type="spellEnd"/>
      <w:r w:rsidRPr="3CEB8552">
        <w:rPr>
          <w:rFonts w:ascii="Verdana" w:hAnsi="Verdana"/>
          <w:sz w:val="20"/>
          <w:szCs w:val="20"/>
          <w:lang w:val="pt-BR"/>
        </w:rPr>
        <w:t xml:space="preserve">) </w:t>
      </w:r>
      <w:r w:rsidRPr="3CEB8552" w:rsidR="00F85D88">
        <w:rPr>
          <w:rFonts w:ascii="Verdana" w:hAnsi="Verdana"/>
          <w:sz w:val="20"/>
          <w:szCs w:val="20"/>
          <w:lang w:val="pt-BR"/>
        </w:rPr>
        <w:t xml:space="preserve">a) etanol </w:t>
      </w:r>
      <w:r w:rsidRPr="3CEB8552" w:rsidR="00516874">
        <w:rPr>
          <w:rFonts w:ascii="Verdana" w:hAnsi="Verdana"/>
          <w:sz w:val="20"/>
          <w:szCs w:val="20"/>
          <w:lang w:val="pt-BR"/>
        </w:rPr>
        <w:t xml:space="preserve">pH 5.0 </w:t>
      </w:r>
      <w:r w:rsidRPr="3CEB8552" w:rsidR="00F85D88">
        <w:rPr>
          <w:rFonts w:ascii="Verdana" w:hAnsi="Verdana"/>
          <w:sz w:val="20"/>
          <w:szCs w:val="20"/>
          <w:lang w:val="pt-BR"/>
        </w:rPr>
        <w:t xml:space="preserve">– 20kHz, b) etanol </w:t>
      </w:r>
      <w:r w:rsidRPr="3CEB8552" w:rsidR="00516874">
        <w:rPr>
          <w:rFonts w:ascii="Verdana" w:hAnsi="Verdana"/>
          <w:sz w:val="20"/>
          <w:szCs w:val="20"/>
          <w:lang w:val="pt-BR"/>
        </w:rPr>
        <w:t xml:space="preserve">pH 5.0 </w:t>
      </w:r>
      <w:r w:rsidRPr="3CEB8552" w:rsidR="00F85D88">
        <w:rPr>
          <w:rFonts w:ascii="Verdana" w:hAnsi="Verdana"/>
          <w:sz w:val="20"/>
          <w:szCs w:val="20"/>
          <w:lang w:val="pt-BR"/>
        </w:rPr>
        <w:t xml:space="preserve">– 40kHz, c) </w:t>
      </w:r>
      <w:r w:rsidRPr="3CEB8552" w:rsidR="0742047C">
        <w:rPr>
          <w:rFonts w:ascii="Verdana" w:hAnsi="Verdana"/>
          <w:sz w:val="20"/>
          <w:szCs w:val="20"/>
          <w:lang w:val="pt-BR"/>
        </w:rPr>
        <w:t>Ácido</w:t>
      </w:r>
      <w:r w:rsidRPr="3CEB8552" w:rsidR="00F85D88">
        <w:rPr>
          <w:rFonts w:ascii="Verdana" w:hAnsi="Verdana"/>
          <w:sz w:val="20"/>
          <w:szCs w:val="20"/>
          <w:lang w:val="pt-BR"/>
        </w:rPr>
        <w:t xml:space="preserve"> cítrico pH 4</w:t>
      </w:r>
      <w:r w:rsidRPr="3CEB8552" w:rsidR="00AF498A">
        <w:rPr>
          <w:rFonts w:ascii="Verdana" w:hAnsi="Verdana"/>
          <w:sz w:val="20"/>
          <w:szCs w:val="20"/>
          <w:lang w:val="pt-BR"/>
        </w:rPr>
        <w:t>.0</w:t>
      </w:r>
      <w:r w:rsidRPr="3CEB8552" w:rsidR="00F85D88">
        <w:rPr>
          <w:rFonts w:ascii="Verdana" w:hAnsi="Verdana"/>
          <w:sz w:val="20"/>
          <w:szCs w:val="20"/>
          <w:lang w:val="pt-BR"/>
        </w:rPr>
        <w:t xml:space="preserve"> – 20kHz, d) </w:t>
      </w:r>
      <w:r w:rsidRPr="3CEB8552" w:rsidR="4A58F757">
        <w:rPr>
          <w:rFonts w:ascii="Verdana" w:hAnsi="Verdana"/>
          <w:sz w:val="20"/>
          <w:szCs w:val="20"/>
          <w:lang w:val="pt-BR"/>
        </w:rPr>
        <w:t>Ácido</w:t>
      </w:r>
      <w:r w:rsidRPr="3CEB8552" w:rsidR="00F85D88">
        <w:rPr>
          <w:rFonts w:ascii="Verdana" w:hAnsi="Verdana"/>
          <w:sz w:val="20"/>
          <w:szCs w:val="20"/>
          <w:lang w:val="pt-BR"/>
        </w:rPr>
        <w:t xml:space="preserve"> cítrico pH 4</w:t>
      </w:r>
      <w:r w:rsidRPr="3CEB8552" w:rsidR="00AF498A">
        <w:rPr>
          <w:rFonts w:ascii="Verdana" w:hAnsi="Verdana"/>
          <w:sz w:val="20"/>
          <w:szCs w:val="20"/>
          <w:lang w:val="pt-BR"/>
        </w:rPr>
        <w:t>.0</w:t>
      </w:r>
      <w:r w:rsidRPr="3CEB8552" w:rsidR="00F85D88">
        <w:rPr>
          <w:rFonts w:ascii="Verdana" w:hAnsi="Verdana"/>
          <w:sz w:val="20"/>
          <w:szCs w:val="20"/>
          <w:lang w:val="pt-BR"/>
        </w:rPr>
        <w:t xml:space="preserve"> – 40kHz, e) </w:t>
      </w:r>
      <w:r w:rsidRPr="3CEB8552" w:rsidR="48E4DDCB">
        <w:rPr>
          <w:rFonts w:ascii="Verdana" w:hAnsi="Verdana"/>
          <w:sz w:val="20"/>
          <w:szCs w:val="20"/>
          <w:lang w:val="pt-BR"/>
        </w:rPr>
        <w:t>Ácido</w:t>
      </w:r>
      <w:r w:rsidRPr="3CEB8552" w:rsidR="00F85D88">
        <w:rPr>
          <w:rFonts w:ascii="Verdana" w:hAnsi="Verdana"/>
          <w:sz w:val="20"/>
          <w:szCs w:val="20"/>
          <w:lang w:val="pt-BR"/>
        </w:rPr>
        <w:t xml:space="preserve"> cítrico pH 3.5 – 20kHz,</w:t>
      </w:r>
      <w:r w:rsidRPr="3CEB8552" w:rsidR="00AF498A">
        <w:rPr>
          <w:rFonts w:ascii="Verdana" w:hAnsi="Verdana"/>
          <w:sz w:val="20"/>
          <w:szCs w:val="20"/>
          <w:lang w:val="pt-BR"/>
        </w:rPr>
        <w:t xml:space="preserve"> f) Acido cítrico pH 3.5 – 40kHz, g) </w:t>
      </w:r>
      <w:r w:rsidRPr="3CEB8552" w:rsidR="02276419">
        <w:rPr>
          <w:rFonts w:ascii="Verdana" w:hAnsi="Verdana"/>
          <w:sz w:val="20"/>
          <w:szCs w:val="20"/>
          <w:lang w:val="pt-BR"/>
        </w:rPr>
        <w:t>Ácido</w:t>
      </w:r>
      <w:r w:rsidRPr="3CEB8552" w:rsidR="00AF498A">
        <w:rPr>
          <w:rFonts w:ascii="Verdana" w:hAnsi="Verdana"/>
          <w:sz w:val="20"/>
          <w:szCs w:val="20"/>
          <w:lang w:val="pt-BR"/>
        </w:rPr>
        <w:t xml:space="preserve"> cítrico pH 2.0 – 20kHz, h) </w:t>
      </w:r>
      <w:r w:rsidRPr="3CEB8552" w:rsidR="5D16FD7B">
        <w:rPr>
          <w:rFonts w:ascii="Verdana" w:hAnsi="Verdana"/>
          <w:sz w:val="20"/>
          <w:szCs w:val="20"/>
          <w:lang w:val="pt-BR"/>
        </w:rPr>
        <w:t>Á</w:t>
      </w:r>
      <w:r w:rsidRPr="3CEB8552" w:rsidR="00AF498A">
        <w:rPr>
          <w:rFonts w:ascii="Verdana" w:hAnsi="Verdana"/>
          <w:sz w:val="20"/>
          <w:szCs w:val="20"/>
          <w:lang w:val="pt-BR"/>
        </w:rPr>
        <w:t>cido cítrico pH 2.0 – 40kHz,</w:t>
      </w:r>
    </w:p>
    <w:p w:rsidRPr="00A316A5" w:rsidR="00A316A5" w:rsidP="007A61C1" w:rsidRDefault="00A316A5" w14:paraId="59771511" w14:textId="77777777">
      <w:pPr>
        <w:rPr>
          <w:rFonts w:ascii="Verdana" w:hAnsi="Verdana"/>
          <w:bCs/>
          <w:sz w:val="24"/>
          <w:szCs w:val="24"/>
        </w:rPr>
      </w:pPr>
    </w:p>
    <w:p w:rsidR="00A316A5" w:rsidP="007A61C1" w:rsidRDefault="00A316A5" w14:paraId="2B20773D" w14:textId="0D4BC1E9">
      <w:pPr>
        <w:rPr>
          <w:rFonts w:ascii="Verdana" w:hAnsi="Verdana"/>
          <w:b/>
          <w:sz w:val="24"/>
          <w:szCs w:val="24"/>
        </w:rPr>
      </w:pPr>
      <w:r w:rsidRPr="00925DBF">
        <w:rPr>
          <w:rFonts w:ascii="Verdana" w:hAnsi="Verdana"/>
          <w:b/>
          <w:sz w:val="24"/>
          <w:szCs w:val="24"/>
        </w:rPr>
        <w:t>Contenido de fenoles totales</w:t>
      </w:r>
      <w:r w:rsidR="0051252B">
        <w:rPr>
          <w:rFonts w:ascii="Verdana" w:hAnsi="Verdana"/>
          <w:b/>
          <w:sz w:val="24"/>
          <w:szCs w:val="24"/>
        </w:rPr>
        <w:t>:</w:t>
      </w:r>
    </w:p>
    <w:p w:rsidRPr="006E4C74" w:rsidR="00C516AE" w:rsidP="3CEB8552" w:rsidRDefault="006E4C74" w14:paraId="7548E9EA" w14:textId="6FC37AB6">
      <w:pPr>
        <w:jc w:val="both"/>
        <w:rPr>
          <w:rFonts w:ascii="Verdana" w:hAnsi="Verdana"/>
          <w:sz w:val="24"/>
          <w:szCs w:val="24"/>
        </w:rPr>
      </w:pPr>
      <w:r w:rsidRPr="3CEB8552">
        <w:rPr>
          <w:rFonts w:ascii="Verdana" w:hAnsi="Verdana"/>
          <w:sz w:val="24"/>
          <w:szCs w:val="24"/>
        </w:rPr>
        <w:t xml:space="preserve">El mayor contenido de fenoles fue extraído empleando Etanol – A.C (pH 3.5) a una </w:t>
      </w:r>
      <w:r w:rsidRPr="3CEB8552" w:rsidR="003C7869">
        <w:rPr>
          <w:rFonts w:ascii="Verdana" w:hAnsi="Verdana"/>
          <w:sz w:val="24"/>
          <w:szCs w:val="24"/>
        </w:rPr>
        <w:t>frecuencia</w:t>
      </w:r>
      <w:r w:rsidRPr="3CEB8552">
        <w:rPr>
          <w:rFonts w:ascii="Verdana" w:hAnsi="Verdana"/>
          <w:sz w:val="24"/>
          <w:szCs w:val="24"/>
        </w:rPr>
        <w:t xml:space="preserve"> de 20kHz (63,72 ± 3,43 mg de Ácido Gálico/g de mangostino). </w:t>
      </w:r>
      <w:r w:rsidRPr="3CEB8552" w:rsidR="00FE780A">
        <w:rPr>
          <w:rFonts w:ascii="Verdana" w:hAnsi="Verdana"/>
          <w:sz w:val="24"/>
          <w:szCs w:val="24"/>
        </w:rPr>
        <w:t xml:space="preserve">Sin embargo, estadísticamente, no se evidencia diferencias significativas con el contenido de fenoles obtenido empleando el mismo </w:t>
      </w:r>
      <w:r w:rsidRPr="3CEB8552" w:rsidR="00FE780A">
        <w:rPr>
          <w:rFonts w:ascii="Verdana" w:hAnsi="Verdana"/>
          <w:sz w:val="24"/>
          <w:szCs w:val="24"/>
        </w:rPr>
        <w:lastRenderedPageBreak/>
        <w:t xml:space="preserve">solvente a una frecuencia de 40 kHz (59,79 ± 4,04 mg de Ácido Gálico/g de mangostino), lo que indica que posiblemente, este parámetro no influye significativamente en el proceso de extracción. Los menores valores de fenoles </w:t>
      </w:r>
      <w:r w:rsidRPr="3CEB8552" w:rsidR="5D058689">
        <w:rPr>
          <w:rFonts w:ascii="Verdana" w:hAnsi="Verdana"/>
          <w:sz w:val="24"/>
          <w:szCs w:val="24"/>
        </w:rPr>
        <w:t>totales</w:t>
      </w:r>
      <w:r w:rsidRPr="3CEB8552" w:rsidR="00FE780A">
        <w:rPr>
          <w:rFonts w:ascii="Verdana" w:hAnsi="Verdana"/>
          <w:sz w:val="24"/>
          <w:szCs w:val="24"/>
        </w:rPr>
        <w:t xml:space="preserve"> fueron obtenidos por las muestras empleando como solvente etanol – </w:t>
      </w:r>
      <w:r w:rsidRPr="3CEB8552" w:rsidR="6E7BEBE9">
        <w:rPr>
          <w:rFonts w:ascii="Verdana" w:hAnsi="Verdana"/>
          <w:sz w:val="24"/>
          <w:szCs w:val="24"/>
        </w:rPr>
        <w:t>Ácido</w:t>
      </w:r>
      <w:r w:rsidRPr="3CEB8552" w:rsidR="00FE780A">
        <w:rPr>
          <w:rFonts w:ascii="Verdana" w:hAnsi="Verdana"/>
          <w:sz w:val="24"/>
          <w:szCs w:val="24"/>
        </w:rPr>
        <w:t xml:space="preserve"> cítrico pH 2. </w:t>
      </w:r>
      <w:r w:rsidRPr="3CEB8552" w:rsidR="00D25A90">
        <w:rPr>
          <w:rFonts w:ascii="Verdana" w:hAnsi="Verdana"/>
          <w:sz w:val="24"/>
          <w:szCs w:val="24"/>
        </w:rPr>
        <w:t xml:space="preserve">Valores similares a los obtenidos en este trabajo se han reportado por otros autores, en donde se realiza el proceso de extracción empleando diferentes tratamientos como extracción acuosa (agua destilada) con un menor contenido de fenoles (12,30 ± 1,53 mg GAE/g muestra), seguido de extracción acuosa acidificada (ácido cítrico al 1 %), extracción (Disolvente 50 % etanol), extracción con disolvente acidificado (50 % etanol con 1 % de ácido cítrico) y con un mayor contenido de fenoles la extracción asistida por microondas con disolvente acidificado (50 % etanol con 1 % de ácido cítrico) (32,25 ± 0,30 mg GAE/g muestra) </w:t>
      </w:r>
      <w:r w:rsidRPr="3CEB8552">
        <w:rPr>
          <w:rFonts w:ascii="Verdana" w:hAnsi="Verdana"/>
          <w:sz w:val="24"/>
          <w:szCs w:val="24"/>
        </w:rPr>
        <w:fldChar w:fldCharType="begin" w:fldLock="1"/>
      </w:r>
      <w:r w:rsidR="000C39B8">
        <w:rPr>
          <w:rFonts w:ascii="Verdana" w:hAnsi="Verdana"/>
          <w:sz w:val="24"/>
          <w:szCs w:val="24"/>
        </w:rPr>
        <w:instrText>ADDIN CSL_CITATION {"citationItems":[{"id":"ITEM-1","itemData":{"DOI":"10.1016/j.focha.2023.100559","ISSN":"2772753X","author":[{"dropping-particle":"","family":"Netravati","given":"","non-dropping-particle":"","parse-names":false,"suffix":""},{"dropping-particle":"","family":"Gomez","given":"Saji","non-dropping-particle":"","parse-names":false,"suffix":""},{"dropping-particle":"","family":"Pathrose","given":"Berin","non-dropping-particle":"","parse-names":false,"suffix":""},{"dropping-particle":"","family":"Joseph","given":"Meagle","non-dropping-particle":"","parse-names":false,"suffix":""},{"dropping-particle":"","family":"Shynu","given":"M.","non-dropping-particle":"","parse-names":false,"suffix":""},{"dropping-particle":"","family":"Kuruvila","given":"Bintu","non-dropping-particle":"","parse-names":false,"suffix":""}],"container-title":"Food Chemistry Advances","id":"ITEM-1","issued":{"date-parts":[["2024","6"]]},"page":"100559","title":"Comparison of extraction methods on anthocyanin pigment attributes from mangosteen (Garcinia mangostana L.) fruit rind as potential food colourant","type":"article-journal","volume":"4"},"uris":["http://www.mendeley.com/documents/?uuid=3d4f67f0-0961-4a7f-aea8-526a51a4fc96","http://www.mendeley.com/documents/?uuid=9b2ffd01-2be8-45f5-bafa-59dc8c38f087"]}],"mendeley":{"formattedCitation":"(Netravati et al., 2024)","plainTextFormattedCitation":"(Netravati et al., 2024)","previouslyFormattedCitation":"(Netravati et al., 2024)"},"properties":{"noteIndex":0},"schema":"https://github.com/citation-style-language/schema/raw/master/csl-citation.json"}</w:instrText>
      </w:r>
      <w:r w:rsidRPr="3CEB8552">
        <w:rPr>
          <w:rFonts w:ascii="Verdana" w:hAnsi="Verdana"/>
          <w:sz w:val="24"/>
          <w:szCs w:val="24"/>
        </w:rPr>
        <w:fldChar w:fldCharType="separate"/>
      </w:r>
      <w:r w:rsidRPr="3CEB8552" w:rsidR="00D25A90">
        <w:rPr>
          <w:rFonts w:ascii="Verdana" w:hAnsi="Verdana"/>
          <w:noProof/>
          <w:sz w:val="24"/>
          <w:szCs w:val="24"/>
        </w:rPr>
        <w:t>(Netravati et al., 2024)</w:t>
      </w:r>
      <w:r w:rsidRPr="3CEB8552">
        <w:rPr>
          <w:rFonts w:ascii="Verdana" w:hAnsi="Verdana"/>
          <w:sz w:val="24"/>
          <w:szCs w:val="24"/>
        </w:rPr>
        <w:fldChar w:fldCharType="end"/>
      </w:r>
      <w:r w:rsidRPr="3CEB8552" w:rsidR="00D25A90">
        <w:rPr>
          <w:rFonts w:ascii="Verdana" w:hAnsi="Verdana"/>
          <w:sz w:val="24"/>
          <w:szCs w:val="24"/>
        </w:rPr>
        <w:t>.</w:t>
      </w:r>
    </w:p>
    <w:p w:rsidRPr="00C516AE" w:rsidR="00C516AE" w:rsidP="00C516AE" w:rsidRDefault="00C516AE" w14:paraId="5FC4AD00" w14:textId="788EA4DB">
      <w:pPr>
        <w:jc w:val="both"/>
        <w:rPr>
          <w:rFonts w:ascii="Verdana" w:hAnsi="Verdana"/>
          <w:bCs/>
          <w:sz w:val="20"/>
          <w:szCs w:val="20"/>
        </w:rPr>
      </w:pPr>
      <w:r w:rsidRPr="00C516AE">
        <w:rPr>
          <w:rFonts w:ascii="Verdana" w:hAnsi="Verdana"/>
          <w:b/>
          <w:i/>
          <w:iCs/>
          <w:sz w:val="20"/>
          <w:szCs w:val="20"/>
        </w:rPr>
        <w:t>Tabla 1.</w:t>
      </w:r>
      <w:r w:rsidRPr="00C516AE">
        <w:rPr>
          <w:rFonts w:ascii="Verdana" w:hAnsi="Verdana"/>
          <w:bCs/>
          <w:sz w:val="20"/>
          <w:szCs w:val="20"/>
        </w:rPr>
        <w:t xml:space="preserve"> Contenido de fenoles totales de extractos de mangostino (</w:t>
      </w:r>
      <w:proofErr w:type="spellStart"/>
      <w:r w:rsidRPr="00C516AE">
        <w:rPr>
          <w:rFonts w:ascii="Verdana" w:hAnsi="Verdana"/>
          <w:bCs/>
          <w:i/>
          <w:iCs/>
          <w:sz w:val="20"/>
          <w:szCs w:val="20"/>
        </w:rPr>
        <w:t>Garcinia</w:t>
      </w:r>
      <w:proofErr w:type="spellEnd"/>
      <w:r w:rsidRPr="00C516AE">
        <w:rPr>
          <w:rFonts w:ascii="Verdana" w:hAnsi="Verdana"/>
          <w:bCs/>
          <w:i/>
          <w:iCs/>
          <w:sz w:val="20"/>
          <w:szCs w:val="20"/>
        </w:rPr>
        <w:t xml:space="preserve"> </w:t>
      </w:r>
      <w:proofErr w:type="spellStart"/>
      <w:r w:rsidRPr="00C516AE">
        <w:rPr>
          <w:rFonts w:ascii="Verdana" w:hAnsi="Verdana"/>
          <w:bCs/>
          <w:i/>
          <w:iCs/>
          <w:sz w:val="20"/>
          <w:szCs w:val="20"/>
        </w:rPr>
        <w:t>mangostana</w:t>
      </w:r>
      <w:proofErr w:type="spellEnd"/>
      <w:r w:rsidRPr="00C516AE">
        <w:rPr>
          <w:rFonts w:ascii="Verdana" w:hAnsi="Verdana"/>
          <w:bCs/>
          <w:sz w:val="20"/>
          <w:szCs w:val="20"/>
        </w:rPr>
        <w:t xml:space="preserve">) </w:t>
      </w:r>
    </w:p>
    <w:tbl>
      <w:tblPr>
        <w:tblW w:w="9072" w:type="dxa"/>
        <w:tblCellMar>
          <w:left w:w="0" w:type="dxa"/>
          <w:right w:w="0" w:type="dxa"/>
        </w:tblCellMar>
        <w:tblLook w:val="0600" w:firstRow="0" w:lastRow="0" w:firstColumn="0" w:lastColumn="0" w:noHBand="1" w:noVBand="1"/>
      </w:tblPr>
      <w:tblGrid>
        <w:gridCol w:w="3119"/>
        <w:gridCol w:w="1417"/>
        <w:gridCol w:w="4536"/>
      </w:tblGrid>
      <w:tr w:rsidRPr="00C516AE" w:rsidR="00C516AE" w:rsidTr="00C516AE" w14:paraId="2EA6C9A8" w14:textId="77777777">
        <w:trPr>
          <w:trHeight w:val="700"/>
        </w:trPr>
        <w:tc>
          <w:tcPr>
            <w:tcW w:w="3119" w:type="dxa"/>
            <w:tcBorders>
              <w:top w:val="single" w:color="auto" w:sz="4" w:space="0"/>
              <w:bottom w:val="single" w:color="auto" w:sz="4" w:space="0"/>
            </w:tcBorders>
            <w:tcMar>
              <w:top w:w="15" w:type="dxa"/>
              <w:left w:w="15" w:type="dxa"/>
              <w:bottom w:w="0" w:type="dxa"/>
              <w:right w:w="15" w:type="dxa"/>
            </w:tcMar>
            <w:vAlign w:val="center"/>
            <w:hideMark/>
          </w:tcPr>
          <w:p w:rsidRPr="00C516AE" w:rsidR="00C516AE" w:rsidP="00C516AE" w:rsidRDefault="00C516AE" w14:paraId="19564BE0" w14:textId="77777777">
            <w:pPr>
              <w:jc w:val="center"/>
              <w:rPr>
                <w:rFonts w:ascii="Verdana" w:hAnsi="Verdana"/>
                <w:b/>
                <w:sz w:val="20"/>
                <w:szCs w:val="20"/>
              </w:rPr>
            </w:pPr>
            <w:r w:rsidRPr="00C516AE">
              <w:rPr>
                <w:rFonts w:ascii="Verdana" w:hAnsi="Verdana"/>
                <w:b/>
                <w:sz w:val="20"/>
                <w:szCs w:val="20"/>
              </w:rPr>
              <w:t>Solvente</w:t>
            </w:r>
          </w:p>
        </w:tc>
        <w:tc>
          <w:tcPr>
            <w:tcW w:w="1417" w:type="dxa"/>
            <w:tcBorders>
              <w:top w:val="single" w:color="auto" w:sz="4" w:space="0"/>
              <w:bottom w:val="single" w:color="auto" w:sz="4" w:space="0"/>
            </w:tcBorders>
            <w:tcMar>
              <w:top w:w="15" w:type="dxa"/>
              <w:left w:w="15" w:type="dxa"/>
              <w:bottom w:w="0" w:type="dxa"/>
              <w:right w:w="15" w:type="dxa"/>
            </w:tcMar>
            <w:vAlign w:val="center"/>
            <w:hideMark/>
          </w:tcPr>
          <w:p w:rsidRPr="00C516AE" w:rsidR="00C516AE" w:rsidP="00C516AE" w:rsidRDefault="003C7869" w14:paraId="1EA98FC4" w14:textId="73A1DC2E">
            <w:pPr>
              <w:jc w:val="center"/>
              <w:rPr>
                <w:rFonts w:ascii="Verdana" w:hAnsi="Verdana"/>
                <w:b/>
                <w:sz w:val="20"/>
                <w:szCs w:val="20"/>
              </w:rPr>
            </w:pPr>
            <w:r>
              <w:rPr>
                <w:rFonts w:ascii="Verdana" w:hAnsi="Verdana"/>
                <w:b/>
                <w:sz w:val="20"/>
                <w:szCs w:val="20"/>
              </w:rPr>
              <w:t>Frecuencia</w:t>
            </w:r>
          </w:p>
        </w:tc>
        <w:tc>
          <w:tcPr>
            <w:tcW w:w="4536" w:type="dxa"/>
            <w:tcBorders>
              <w:top w:val="single" w:color="auto" w:sz="4" w:space="0"/>
              <w:bottom w:val="single" w:color="auto" w:sz="4" w:space="0"/>
            </w:tcBorders>
            <w:tcMar>
              <w:top w:w="15" w:type="dxa"/>
              <w:left w:w="15" w:type="dxa"/>
              <w:bottom w:w="0" w:type="dxa"/>
              <w:right w:w="15" w:type="dxa"/>
            </w:tcMar>
            <w:vAlign w:val="center"/>
            <w:hideMark/>
          </w:tcPr>
          <w:p w:rsidRPr="00C516AE" w:rsidR="00C516AE" w:rsidP="00C516AE" w:rsidRDefault="00C516AE" w14:paraId="69FD1F4D" w14:textId="77777777">
            <w:pPr>
              <w:jc w:val="center"/>
              <w:rPr>
                <w:rFonts w:ascii="Verdana" w:hAnsi="Verdana"/>
                <w:b/>
                <w:sz w:val="20"/>
                <w:szCs w:val="20"/>
              </w:rPr>
            </w:pPr>
            <w:r w:rsidRPr="00C516AE">
              <w:rPr>
                <w:rFonts w:ascii="Verdana" w:hAnsi="Verdana"/>
                <w:b/>
                <w:sz w:val="20"/>
                <w:szCs w:val="20"/>
              </w:rPr>
              <w:t>mg de Ácido Gálico/g de mangostino</w:t>
            </w:r>
          </w:p>
        </w:tc>
      </w:tr>
      <w:tr w:rsidRPr="00C516AE" w:rsidR="00C516AE" w:rsidTr="00C516AE" w14:paraId="0FA76119" w14:textId="77777777">
        <w:trPr>
          <w:trHeight w:val="364"/>
        </w:trPr>
        <w:tc>
          <w:tcPr>
            <w:tcW w:w="3119" w:type="dxa"/>
            <w:vMerge w:val="restart"/>
            <w:tcBorders>
              <w:top w:val="single" w:color="auto" w:sz="4" w:space="0"/>
            </w:tcBorders>
            <w:tcMar>
              <w:top w:w="15" w:type="dxa"/>
              <w:left w:w="15" w:type="dxa"/>
              <w:bottom w:w="0" w:type="dxa"/>
              <w:right w:w="15" w:type="dxa"/>
            </w:tcMar>
            <w:vAlign w:val="center"/>
            <w:hideMark/>
          </w:tcPr>
          <w:p w:rsidRPr="00C516AE" w:rsidR="00C516AE" w:rsidP="00C516AE" w:rsidRDefault="00C516AE" w14:paraId="4F92EF19" w14:textId="77777777">
            <w:pPr>
              <w:rPr>
                <w:rFonts w:ascii="Verdana" w:hAnsi="Verdana"/>
                <w:bCs/>
                <w:sz w:val="20"/>
                <w:szCs w:val="20"/>
              </w:rPr>
            </w:pPr>
            <w:r w:rsidRPr="00C516AE">
              <w:rPr>
                <w:rFonts w:ascii="Verdana" w:hAnsi="Verdana"/>
                <w:bCs/>
                <w:sz w:val="20"/>
                <w:szCs w:val="20"/>
              </w:rPr>
              <w:t>Etanol absoluto (pH 5.0)</w:t>
            </w:r>
          </w:p>
        </w:tc>
        <w:tc>
          <w:tcPr>
            <w:tcW w:w="1417" w:type="dxa"/>
            <w:tcBorders>
              <w:top w:val="single" w:color="auto" w:sz="4" w:space="0"/>
            </w:tcBorders>
            <w:tcMar>
              <w:top w:w="15" w:type="dxa"/>
              <w:left w:w="15" w:type="dxa"/>
              <w:bottom w:w="0" w:type="dxa"/>
              <w:right w:w="15" w:type="dxa"/>
            </w:tcMar>
            <w:vAlign w:val="bottom"/>
            <w:hideMark/>
          </w:tcPr>
          <w:p w:rsidRPr="00C516AE" w:rsidR="00C516AE" w:rsidP="00C516AE" w:rsidRDefault="00C516AE" w14:paraId="52EB6D58" w14:textId="77777777">
            <w:pPr>
              <w:jc w:val="center"/>
              <w:rPr>
                <w:rFonts w:ascii="Verdana" w:hAnsi="Verdana"/>
                <w:bCs/>
                <w:sz w:val="20"/>
                <w:szCs w:val="20"/>
              </w:rPr>
            </w:pPr>
            <w:r w:rsidRPr="00C516AE">
              <w:rPr>
                <w:rFonts w:ascii="Verdana" w:hAnsi="Verdana"/>
                <w:bCs/>
                <w:sz w:val="20"/>
                <w:szCs w:val="20"/>
              </w:rPr>
              <w:t>20KHz</w:t>
            </w:r>
          </w:p>
        </w:tc>
        <w:tc>
          <w:tcPr>
            <w:tcW w:w="4536" w:type="dxa"/>
            <w:tcBorders>
              <w:top w:val="single" w:color="auto" w:sz="4" w:space="0"/>
            </w:tcBorders>
            <w:tcMar>
              <w:top w:w="15" w:type="dxa"/>
              <w:left w:w="15" w:type="dxa"/>
              <w:bottom w:w="0" w:type="dxa"/>
              <w:right w:w="15" w:type="dxa"/>
            </w:tcMar>
            <w:vAlign w:val="bottom"/>
            <w:hideMark/>
          </w:tcPr>
          <w:p w:rsidRPr="00C516AE" w:rsidR="00C516AE" w:rsidP="00C516AE" w:rsidRDefault="00C516AE" w14:paraId="2CCEABF3" w14:textId="486AC629">
            <w:pPr>
              <w:jc w:val="center"/>
              <w:rPr>
                <w:rFonts w:ascii="Verdana" w:hAnsi="Verdana"/>
                <w:bCs/>
                <w:sz w:val="20"/>
                <w:szCs w:val="20"/>
              </w:rPr>
            </w:pPr>
            <w:r w:rsidRPr="00C516AE">
              <w:rPr>
                <w:rFonts w:ascii="Verdana" w:hAnsi="Verdana"/>
                <w:bCs/>
                <w:sz w:val="20"/>
                <w:szCs w:val="20"/>
              </w:rPr>
              <w:t>39,17 ± 1,00</w:t>
            </w:r>
            <w:r w:rsidRPr="00C8540D" w:rsidR="00C8540D">
              <w:rPr>
                <w:rFonts w:ascii="Verdana" w:hAnsi="Verdana"/>
                <w:bCs/>
                <w:sz w:val="20"/>
                <w:szCs w:val="20"/>
                <w:vertAlign w:val="superscript"/>
              </w:rPr>
              <w:t xml:space="preserve"> b</w:t>
            </w:r>
          </w:p>
        </w:tc>
      </w:tr>
      <w:tr w:rsidRPr="00C516AE" w:rsidR="00C516AE" w:rsidTr="00C516AE" w14:paraId="50A6953A" w14:textId="77777777">
        <w:trPr>
          <w:trHeight w:val="364"/>
        </w:trPr>
        <w:tc>
          <w:tcPr>
            <w:tcW w:w="3119" w:type="dxa"/>
            <w:vMerge/>
            <w:vAlign w:val="center"/>
            <w:hideMark/>
          </w:tcPr>
          <w:p w:rsidRPr="00C516AE" w:rsidR="00C516AE" w:rsidP="00C516AE" w:rsidRDefault="00C516AE" w14:paraId="2344AB10" w14:textId="77777777">
            <w:pPr>
              <w:rPr>
                <w:rFonts w:ascii="Verdana" w:hAnsi="Verdana"/>
                <w:bCs/>
                <w:sz w:val="20"/>
                <w:szCs w:val="20"/>
              </w:rPr>
            </w:pPr>
          </w:p>
        </w:tc>
        <w:tc>
          <w:tcPr>
            <w:tcW w:w="1417" w:type="dxa"/>
            <w:tcMar>
              <w:top w:w="15" w:type="dxa"/>
              <w:left w:w="15" w:type="dxa"/>
              <w:bottom w:w="0" w:type="dxa"/>
              <w:right w:w="15" w:type="dxa"/>
            </w:tcMar>
            <w:vAlign w:val="bottom"/>
            <w:hideMark/>
          </w:tcPr>
          <w:p w:rsidRPr="00C516AE" w:rsidR="00C516AE" w:rsidP="00C516AE" w:rsidRDefault="00C516AE" w14:paraId="1C635A62" w14:textId="77777777">
            <w:pPr>
              <w:jc w:val="center"/>
              <w:rPr>
                <w:rFonts w:ascii="Verdana" w:hAnsi="Verdana"/>
                <w:bCs/>
                <w:sz w:val="20"/>
                <w:szCs w:val="20"/>
              </w:rPr>
            </w:pPr>
            <w:r w:rsidRPr="00C516AE">
              <w:rPr>
                <w:rFonts w:ascii="Verdana" w:hAnsi="Verdana"/>
                <w:bCs/>
                <w:sz w:val="20"/>
                <w:szCs w:val="20"/>
              </w:rPr>
              <w:t>40KHz</w:t>
            </w:r>
          </w:p>
        </w:tc>
        <w:tc>
          <w:tcPr>
            <w:tcW w:w="4536" w:type="dxa"/>
            <w:tcMar>
              <w:top w:w="15" w:type="dxa"/>
              <w:left w:w="15" w:type="dxa"/>
              <w:bottom w:w="0" w:type="dxa"/>
              <w:right w:w="15" w:type="dxa"/>
            </w:tcMar>
            <w:vAlign w:val="bottom"/>
            <w:hideMark/>
          </w:tcPr>
          <w:p w:rsidRPr="00C516AE" w:rsidR="00C516AE" w:rsidP="00C516AE" w:rsidRDefault="00C516AE" w14:paraId="2A8F25B7" w14:textId="2A9A2E6B">
            <w:pPr>
              <w:jc w:val="center"/>
              <w:rPr>
                <w:rFonts w:ascii="Verdana" w:hAnsi="Verdana"/>
                <w:bCs/>
                <w:sz w:val="20"/>
                <w:szCs w:val="20"/>
              </w:rPr>
            </w:pPr>
            <w:r w:rsidRPr="00C516AE">
              <w:rPr>
                <w:rFonts w:ascii="Verdana" w:hAnsi="Verdana"/>
                <w:bCs/>
                <w:sz w:val="20"/>
                <w:szCs w:val="20"/>
              </w:rPr>
              <w:t>38,55 ± 2,04</w:t>
            </w:r>
            <w:r w:rsidRPr="00C8540D" w:rsidR="00C8540D">
              <w:rPr>
                <w:rFonts w:ascii="Verdana" w:hAnsi="Verdana"/>
                <w:bCs/>
                <w:sz w:val="20"/>
                <w:szCs w:val="20"/>
                <w:vertAlign w:val="superscript"/>
              </w:rPr>
              <w:t>b</w:t>
            </w:r>
          </w:p>
        </w:tc>
      </w:tr>
      <w:tr w:rsidRPr="00C516AE" w:rsidR="00C516AE" w:rsidTr="00C516AE" w14:paraId="07932DC1" w14:textId="77777777">
        <w:trPr>
          <w:trHeight w:val="364"/>
        </w:trPr>
        <w:tc>
          <w:tcPr>
            <w:tcW w:w="3119" w:type="dxa"/>
            <w:vMerge w:val="restart"/>
            <w:tcMar>
              <w:top w:w="15" w:type="dxa"/>
              <w:left w:w="15" w:type="dxa"/>
              <w:bottom w:w="0" w:type="dxa"/>
              <w:right w:w="15" w:type="dxa"/>
            </w:tcMar>
            <w:vAlign w:val="center"/>
            <w:hideMark/>
          </w:tcPr>
          <w:p w:rsidRPr="00C516AE" w:rsidR="00C516AE" w:rsidP="00C516AE" w:rsidRDefault="00C516AE" w14:paraId="21B7B14E" w14:textId="5D658DA9">
            <w:pPr>
              <w:rPr>
                <w:rFonts w:ascii="Verdana" w:hAnsi="Verdana"/>
                <w:bCs/>
                <w:sz w:val="20"/>
                <w:szCs w:val="20"/>
              </w:rPr>
            </w:pPr>
            <w:r w:rsidRPr="00C516AE">
              <w:rPr>
                <w:rFonts w:ascii="Verdana" w:hAnsi="Verdana"/>
                <w:bCs/>
                <w:sz w:val="20"/>
                <w:szCs w:val="20"/>
              </w:rPr>
              <w:t>Etanol – A.</w:t>
            </w:r>
            <w:r w:rsidR="00FE780A">
              <w:rPr>
                <w:rFonts w:ascii="Verdana" w:hAnsi="Verdana"/>
                <w:bCs/>
                <w:sz w:val="20"/>
                <w:szCs w:val="20"/>
              </w:rPr>
              <w:t xml:space="preserve"> cítrico</w:t>
            </w:r>
            <w:r w:rsidRPr="00C516AE">
              <w:rPr>
                <w:rFonts w:ascii="Verdana" w:hAnsi="Verdana"/>
                <w:bCs/>
                <w:sz w:val="20"/>
                <w:szCs w:val="20"/>
              </w:rPr>
              <w:t xml:space="preserve"> (pH 4</w:t>
            </w:r>
            <w:r w:rsidR="00FE780A">
              <w:rPr>
                <w:rFonts w:ascii="Verdana" w:hAnsi="Verdana"/>
                <w:bCs/>
                <w:sz w:val="20"/>
                <w:szCs w:val="20"/>
              </w:rPr>
              <w:t>.0</w:t>
            </w:r>
            <w:r w:rsidRPr="00C516AE">
              <w:rPr>
                <w:rFonts w:ascii="Verdana" w:hAnsi="Verdana"/>
                <w:bCs/>
                <w:sz w:val="20"/>
                <w:szCs w:val="20"/>
              </w:rPr>
              <w:t>)</w:t>
            </w:r>
          </w:p>
        </w:tc>
        <w:tc>
          <w:tcPr>
            <w:tcW w:w="1417" w:type="dxa"/>
            <w:tcMar>
              <w:top w:w="15" w:type="dxa"/>
              <w:left w:w="15" w:type="dxa"/>
              <w:bottom w:w="0" w:type="dxa"/>
              <w:right w:w="15" w:type="dxa"/>
            </w:tcMar>
            <w:vAlign w:val="bottom"/>
            <w:hideMark/>
          </w:tcPr>
          <w:p w:rsidRPr="00C516AE" w:rsidR="00C516AE" w:rsidP="00C516AE" w:rsidRDefault="00C516AE" w14:paraId="1F19D202" w14:textId="77777777">
            <w:pPr>
              <w:jc w:val="center"/>
              <w:rPr>
                <w:rFonts w:ascii="Verdana" w:hAnsi="Verdana"/>
                <w:bCs/>
                <w:sz w:val="20"/>
                <w:szCs w:val="20"/>
              </w:rPr>
            </w:pPr>
            <w:r w:rsidRPr="00C516AE">
              <w:rPr>
                <w:rFonts w:ascii="Verdana" w:hAnsi="Verdana"/>
                <w:bCs/>
                <w:sz w:val="20"/>
                <w:szCs w:val="20"/>
              </w:rPr>
              <w:t>20KHz</w:t>
            </w:r>
          </w:p>
        </w:tc>
        <w:tc>
          <w:tcPr>
            <w:tcW w:w="4536" w:type="dxa"/>
            <w:tcMar>
              <w:top w:w="15" w:type="dxa"/>
              <w:left w:w="15" w:type="dxa"/>
              <w:bottom w:w="0" w:type="dxa"/>
              <w:right w:w="15" w:type="dxa"/>
            </w:tcMar>
            <w:vAlign w:val="bottom"/>
            <w:hideMark/>
          </w:tcPr>
          <w:p w:rsidRPr="00C516AE" w:rsidR="00C516AE" w:rsidP="00C516AE" w:rsidRDefault="00C516AE" w14:paraId="3C9A53F2" w14:textId="7CB056C5">
            <w:pPr>
              <w:jc w:val="center"/>
              <w:rPr>
                <w:rFonts w:ascii="Verdana" w:hAnsi="Verdana"/>
                <w:bCs/>
                <w:sz w:val="20"/>
                <w:szCs w:val="20"/>
              </w:rPr>
            </w:pPr>
            <w:r w:rsidRPr="00C516AE">
              <w:rPr>
                <w:rFonts w:ascii="Verdana" w:hAnsi="Verdana"/>
                <w:bCs/>
                <w:sz w:val="20"/>
                <w:szCs w:val="20"/>
              </w:rPr>
              <w:t>33,48 ± 1,26</w:t>
            </w:r>
            <w:r w:rsidRPr="00C8540D" w:rsidR="00C8540D">
              <w:rPr>
                <w:rFonts w:ascii="Verdana" w:hAnsi="Verdana"/>
                <w:bCs/>
                <w:sz w:val="20"/>
                <w:szCs w:val="20"/>
                <w:vertAlign w:val="superscript"/>
              </w:rPr>
              <w:t>c</w:t>
            </w:r>
          </w:p>
        </w:tc>
      </w:tr>
      <w:tr w:rsidRPr="00C516AE" w:rsidR="00C516AE" w:rsidTr="00C516AE" w14:paraId="2DF6D0FC" w14:textId="77777777">
        <w:trPr>
          <w:trHeight w:val="364"/>
        </w:trPr>
        <w:tc>
          <w:tcPr>
            <w:tcW w:w="3119" w:type="dxa"/>
            <w:vMerge/>
            <w:vAlign w:val="center"/>
            <w:hideMark/>
          </w:tcPr>
          <w:p w:rsidRPr="00C516AE" w:rsidR="00C516AE" w:rsidP="00C516AE" w:rsidRDefault="00C516AE" w14:paraId="344EF97D" w14:textId="77777777">
            <w:pPr>
              <w:rPr>
                <w:rFonts w:ascii="Verdana" w:hAnsi="Verdana"/>
                <w:bCs/>
                <w:sz w:val="20"/>
                <w:szCs w:val="20"/>
              </w:rPr>
            </w:pPr>
          </w:p>
        </w:tc>
        <w:tc>
          <w:tcPr>
            <w:tcW w:w="1417" w:type="dxa"/>
            <w:tcMar>
              <w:top w:w="15" w:type="dxa"/>
              <w:left w:w="15" w:type="dxa"/>
              <w:bottom w:w="0" w:type="dxa"/>
              <w:right w:w="15" w:type="dxa"/>
            </w:tcMar>
            <w:vAlign w:val="bottom"/>
            <w:hideMark/>
          </w:tcPr>
          <w:p w:rsidRPr="00C516AE" w:rsidR="00C516AE" w:rsidP="00C516AE" w:rsidRDefault="00C516AE" w14:paraId="54C608F9" w14:textId="77777777">
            <w:pPr>
              <w:jc w:val="center"/>
              <w:rPr>
                <w:rFonts w:ascii="Verdana" w:hAnsi="Verdana"/>
                <w:bCs/>
                <w:sz w:val="20"/>
                <w:szCs w:val="20"/>
              </w:rPr>
            </w:pPr>
            <w:r w:rsidRPr="00C516AE">
              <w:rPr>
                <w:rFonts w:ascii="Verdana" w:hAnsi="Verdana"/>
                <w:bCs/>
                <w:sz w:val="20"/>
                <w:szCs w:val="20"/>
              </w:rPr>
              <w:t>40KHz</w:t>
            </w:r>
          </w:p>
        </w:tc>
        <w:tc>
          <w:tcPr>
            <w:tcW w:w="4536" w:type="dxa"/>
            <w:tcMar>
              <w:top w:w="15" w:type="dxa"/>
              <w:left w:w="15" w:type="dxa"/>
              <w:bottom w:w="0" w:type="dxa"/>
              <w:right w:w="15" w:type="dxa"/>
            </w:tcMar>
            <w:vAlign w:val="bottom"/>
            <w:hideMark/>
          </w:tcPr>
          <w:p w:rsidRPr="00C516AE" w:rsidR="00C516AE" w:rsidP="00C516AE" w:rsidRDefault="00C516AE" w14:paraId="4C532D1F" w14:textId="2AC15140">
            <w:pPr>
              <w:jc w:val="center"/>
              <w:rPr>
                <w:rFonts w:ascii="Verdana" w:hAnsi="Verdana"/>
                <w:bCs/>
                <w:sz w:val="20"/>
                <w:szCs w:val="20"/>
              </w:rPr>
            </w:pPr>
            <w:r w:rsidRPr="00C516AE">
              <w:rPr>
                <w:rFonts w:ascii="Verdana" w:hAnsi="Verdana"/>
                <w:bCs/>
                <w:sz w:val="20"/>
                <w:szCs w:val="20"/>
              </w:rPr>
              <w:t>38,05 ± 1,31</w:t>
            </w:r>
            <w:r w:rsidRPr="00C8540D" w:rsidR="00C8540D">
              <w:rPr>
                <w:rFonts w:ascii="Verdana" w:hAnsi="Verdana"/>
                <w:bCs/>
                <w:sz w:val="20"/>
                <w:szCs w:val="20"/>
                <w:vertAlign w:val="superscript"/>
              </w:rPr>
              <w:t>bc</w:t>
            </w:r>
          </w:p>
        </w:tc>
      </w:tr>
      <w:tr w:rsidRPr="00C516AE" w:rsidR="00C516AE" w:rsidTr="00C516AE" w14:paraId="026305B1" w14:textId="77777777">
        <w:trPr>
          <w:trHeight w:val="364"/>
        </w:trPr>
        <w:tc>
          <w:tcPr>
            <w:tcW w:w="3119" w:type="dxa"/>
            <w:vMerge w:val="restart"/>
            <w:tcMar>
              <w:top w:w="15" w:type="dxa"/>
              <w:left w:w="15" w:type="dxa"/>
              <w:bottom w:w="0" w:type="dxa"/>
              <w:right w:w="15" w:type="dxa"/>
            </w:tcMar>
            <w:vAlign w:val="center"/>
            <w:hideMark/>
          </w:tcPr>
          <w:p w:rsidRPr="00C516AE" w:rsidR="00C516AE" w:rsidP="00C516AE" w:rsidRDefault="00C516AE" w14:paraId="70BC1B67" w14:textId="4BC92A9D">
            <w:pPr>
              <w:rPr>
                <w:rFonts w:ascii="Verdana" w:hAnsi="Verdana"/>
                <w:bCs/>
                <w:sz w:val="20"/>
                <w:szCs w:val="20"/>
              </w:rPr>
            </w:pPr>
            <w:r w:rsidRPr="00C516AE">
              <w:rPr>
                <w:rFonts w:ascii="Verdana" w:hAnsi="Verdana"/>
                <w:bCs/>
                <w:sz w:val="20"/>
                <w:szCs w:val="20"/>
              </w:rPr>
              <w:t xml:space="preserve">Etanol – </w:t>
            </w:r>
            <w:r w:rsidRPr="00C516AE" w:rsidR="00FE780A">
              <w:rPr>
                <w:rFonts w:ascii="Verdana" w:hAnsi="Verdana"/>
                <w:bCs/>
                <w:sz w:val="20"/>
                <w:szCs w:val="20"/>
              </w:rPr>
              <w:t>A.</w:t>
            </w:r>
            <w:r w:rsidR="00FE780A">
              <w:rPr>
                <w:rFonts w:ascii="Verdana" w:hAnsi="Verdana"/>
                <w:bCs/>
                <w:sz w:val="20"/>
                <w:szCs w:val="20"/>
              </w:rPr>
              <w:t xml:space="preserve"> cítrico</w:t>
            </w:r>
            <w:r w:rsidRPr="00C516AE" w:rsidR="00FE780A">
              <w:rPr>
                <w:rFonts w:ascii="Verdana" w:hAnsi="Verdana"/>
                <w:bCs/>
                <w:sz w:val="20"/>
                <w:szCs w:val="20"/>
              </w:rPr>
              <w:t xml:space="preserve"> </w:t>
            </w:r>
            <w:r w:rsidRPr="00C516AE">
              <w:rPr>
                <w:rFonts w:ascii="Verdana" w:hAnsi="Verdana"/>
                <w:bCs/>
                <w:sz w:val="20"/>
                <w:szCs w:val="20"/>
              </w:rPr>
              <w:t>(pH 3.5)</w:t>
            </w:r>
          </w:p>
        </w:tc>
        <w:tc>
          <w:tcPr>
            <w:tcW w:w="1417" w:type="dxa"/>
            <w:tcMar>
              <w:top w:w="15" w:type="dxa"/>
              <w:left w:w="15" w:type="dxa"/>
              <w:bottom w:w="0" w:type="dxa"/>
              <w:right w:w="15" w:type="dxa"/>
            </w:tcMar>
            <w:vAlign w:val="bottom"/>
            <w:hideMark/>
          </w:tcPr>
          <w:p w:rsidRPr="00C516AE" w:rsidR="00C516AE" w:rsidP="00C516AE" w:rsidRDefault="00C516AE" w14:paraId="7B741FAC" w14:textId="77777777">
            <w:pPr>
              <w:jc w:val="center"/>
              <w:rPr>
                <w:rFonts w:ascii="Verdana" w:hAnsi="Verdana"/>
                <w:bCs/>
                <w:sz w:val="20"/>
                <w:szCs w:val="20"/>
              </w:rPr>
            </w:pPr>
            <w:r w:rsidRPr="00C516AE">
              <w:rPr>
                <w:rFonts w:ascii="Verdana" w:hAnsi="Verdana"/>
                <w:bCs/>
                <w:sz w:val="20"/>
                <w:szCs w:val="20"/>
              </w:rPr>
              <w:t>20KHz</w:t>
            </w:r>
          </w:p>
        </w:tc>
        <w:tc>
          <w:tcPr>
            <w:tcW w:w="4536" w:type="dxa"/>
            <w:tcMar>
              <w:top w:w="15" w:type="dxa"/>
              <w:left w:w="15" w:type="dxa"/>
              <w:bottom w:w="0" w:type="dxa"/>
              <w:right w:w="15" w:type="dxa"/>
            </w:tcMar>
            <w:vAlign w:val="bottom"/>
            <w:hideMark/>
          </w:tcPr>
          <w:p w:rsidRPr="00C516AE" w:rsidR="00C516AE" w:rsidP="00C516AE" w:rsidRDefault="00C516AE" w14:paraId="30F000FF" w14:textId="0601F8FB">
            <w:pPr>
              <w:jc w:val="center"/>
              <w:rPr>
                <w:rFonts w:ascii="Verdana" w:hAnsi="Verdana"/>
                <w:bCs/>
                <w:sz w:val="20"/>
                <w:szCs w:val="20"/>
              </w:rPr>
            </w:pPr>
            <w:r w:rsidRPr="00C516AE">
              <w:rPr>
                <w:rFonts w:ascii="Verdana" w:hAnsi="Verdana"/>
                <w:bCs/>
                <w:sz w:val="20"/>
                <w:szCs w:val="20"/>
              </w:rPr>
              <w:t>63,72 ± 3,43</w:t>
            </w:r>
            <w:r w:rsidRPr="00C8540D" w:rsidR="00C8540D">
              <w:rPr>
                <w:rFonts w:ascii="Verdana" w:hAnsi="Verdana"/>
                <w:bCs/>
                <w:sz w:val="20"/>
                <w:szCs w:val="20"/>
                <w:vertAlign w:val="superscript"/>
              </w:rPr>
              <w:t>ª</w:t>
            </w:r>
          </w:p>
        </w:tc>
      </w:tr>
      <w:tr w:rsidRPr="00C516AE" w:rsidR="00C516AE" w:rsidTr="00C516AE" w14:paraId="740F2B88" w14:textId="77777777">
        <w:trPr>
          <w:trHeight w:val="364"/>
        </w:trPr>
        <w:tc>
          <w:tcPr>
            <w:tcW w:w="3119" w:type="dxa"/>
            <w:vMerge/>
            <w:vAlign w:val="center"/>
            <w:hideMark/>
          </w:tcPr>
          <w:p w:rsidRPr="00C516AE" w:rsidR="00C516AE" w:rsidP="00C516AE" w:rsidRDefault="00C516AE" w14:paraId="2BDDFC9E" w14:textId="77777777">
            <w:pPr>
              <w:rPr>
                <w:rFonts w:ascii="Verdana" w:hAnsi="Verdana"/>
                <w:bCs/>
                <w:sz w:val="20"/>
                <w:szCs w:val="20"/>
              </w:rPr>
            </w:pPr>
          </w:p>
        </w:tc>
        <w:tc>
          <w:tcPr>
            <w:tcW w:w="1417" w:type="dxa"/>
            <w:tcMar>
              <w:top w:w="15" w:type="dxa"/>
              <w:left w:w="15" w:type="dxa"/>
              <w:bottom w:w="0" w:type="dxa"/>
              <w:right w:w="15" w:type="dxa"/>
            </w:tcMar>
            <w:vAlign w:val="bottom"/>
            <w:hideMark/>
          </w:tcPr>
          <w:p w:rsidRPr="00C516AE" w:rsidR="00C516AE" w:rsidP="00C516AE" w:rsidRDefault="00C516AE" w14:paraId="7E30FE68" w14:textId="77777777">
            <w:pPr>
              <w:jc w:val="center"/>
              <w:rPr>
                <w:rFonts w:ascii="Verdana" w:hAnsi="Verdana"/>
                <w:bCs/>
                <w:sz w:val="20"/>
                <w:szCs w:val="20"/>
              </w:rPr>
            </w:pPr>
            <w:r w:rsidRPr="00C516AE">
              <w:rPr>
                <w:rFonts w:ascii="Verdana" w:hAnsi="Verdana"/>
                <w:bCs/>
                <w:sz w:val="20"/>
                <w:szCs w:val="20"/>
              </w:rPr>
              <w:t>40KHz</w:t>
            </w:r>
          </w:p>
        </w:tc>
        <w:tc>
          <w:tcPr>
            <w:tcW w:w="4536" w:type="dxa"/>
            <w:tcMar>
              <w:top w:w="15" w:type="dxa"/>
              <w:left w:w="15" w:type="dxa"/>
              <w:bottom w:w="0" w:type="dxa"/>
              <w:right w:w="15" w:type="dxa"/>
            </w:tcMar>
            <w:vAlign w:val="bottom"/>
            <w:hideMark/>
          </w:tcPr>
          <w:p w:rsidRPr="00C516AE" w:rsidR="00C516AE" w:rsidP="00C516AE" w:rsidRDefault="00C516AE" w14:paraId="389CD7CA" w14:textId="14B97A6C">
            <w:pPr>
              <w:jc w:val="center"/>
              <w:rPr>
                <w:rFonts w:ascii="Verdana" w:hAnsi="Verdana"/>
                <w:bCs/>
                <w:sz w:val="20"/>
                <w:szCs w:val="20"/>
              </w:rPr>
            </w:pPr>
            <w:r w:rsidRPr="00C516AE">
              <w:rPr>
                <w:rFonts w:ascii="Verdana" w:hAnsi="Verdana"/>
                <w:bCs/>
                <w:sz w:val="20"/>
                <w:szCs w:val="20"/>
              </w:rPr>
              <w:t>59,79 ± 4,04</w:t>
            </w:r>
            <w:r w:rsidRPr="00C8540D" w:rsidR="00C8540D">
              <w:rPr>
                <w:rFonts w:ascii="Verdana" w:hAnsi="Verdana"/>
                <w:bCs/>
                <w:sz w:val="20"/>
                <w:szCs w:val="20"/>
                <w:vertAlign w:val="superscript"/>
              </w:rPr>
              <w:t>a</w:t>
            </w:r>
          </w:p>
        </w:tc>
      </w:tr>
      <w:tr w:rsidRPr="00C516AE" w:rsidR="00C516AE" w:rsidTr="00C516AE" w14:paraId="0637B5B2" w14:textId="77777777">
        <w:trPr>
          <w:trHeight w:val="364"/>
        </w:trPr>
        <w:tc>
          <w:tcPr>
            <w:tcW w:w="3119" w:type="dxa"/>
            <w:vMerge w:val="restart"/>
            <w:tcMar>
              <w:top w:w="15" w:type="dxa"/>
              <w:left w:w="15" w:type="dxa"/>
              <w:bottom w:w="0" w:type="dxa"/>
              <w:right w:w="15" w:type="dxa"/>
            </w:tcMar>
            <w:vAlign w:val="center"/>
            <w:hideMark/>
          </w:tcPr>
          <w:p w:rsidRPr="00C516AE" w:rsidR="00C516AE" w:rsidP="00C516AE" w:rsidRDefault="00FE780A" w14:paraId="050607BB" w14:textId="242C9626">
            <w:pPr>
              <w:rPr>
                <w:rFonts w:ascii="Verdana" w:hAnsi="Verdana"/>
                <w:bCs/>
                <w:sz w:val="20"/>
                <w:szCs w:val="20"/>
              </w:rPr>
            </w:pPr>
            <w:r w:rsidRPr="00C516AE">
              <w:rPr>
                <w:rFonts w:ascii="Verdana" w:hAnsi="Verdana"/>
                <w:bCs/>
                <w:sz w:val="20"/>
                <w:szCs w:val="20"/>
              </w:rPr>
              <w:t>Etanol – A.</w:t>
            </w:r>
            <w:r>
              <w:rPr>
                <w:rFonts w:ascii="Verdana" w:hAnsi="Verdana"/>
                <w:bCs/>
                <w:sz w:val="20"/>
                <w:szCs w:val="20"/>
              </w:rPr>
              <w:t xml:space="preserve"> cítrico</w:t>
            </w:r>
            <w:r w:rsidRPr="00C516AE">
              <w:rPr>
                <w:rFonts w:ascii="Verdana" w:hAnsi="Verdana"/>
                <w:bCs/>
                <w:sz w:val="20"/>
                <w:szCs w:val="20"/>
              </w:rPr>
              <w:t xml:space="preserve"> </w:t>
            </w:r>
            <w:r>
              <w:rPr>
                <w:rFonts w:ascii="Verdana" w:hAnsi="Verdana"/>
                <w:bCs/>
                <w:sz w:val="20"/>
                <w:szCs w:val="20"/>
              </w:rPr>
              <w:t>(</w:t>
            </w:r>
            <w:r w:rsidRPr="00C516AE" w:rsidR="00C516AE">
              <w:rPr>
                <w:rFonts w:ascii="Verdana" w:hAnsi="Verdana"/>
                <w:bCs/>
                <w:sz w:val="20"/>
                <w:szCs w:val="20"/>
              </w:rPr>
              <w:t>pH 2</w:t>
            </w:r>
            <w:r>
              <w:rPr>
                <w:rFonts w:ascii="Verdana" w:hAnsi="Verdana"/>
                <w:bCs/>
                <w:sz w:val="20"/>
                <w:szCs w:val="20"/>
              </w:rPr>
              <w:t>.0)</w:t>
            </w:r>
          </w:p>
        </w:tc>
        <w:tc>
          <w:tcPr>
            <w:tcW w:w="1417" w:type="dxa"/>
            <w:tcMar>
              <w:top w:w="15" w:type="dxa"/>
              <w:left w:w="15" w:type="dxa"/>
              <w:bottom w:w="0" w:type="dxa"/>
              <w:right w:w="15" w:type="dxa"/>
            </w:tcMar>
            <w:vAlign w:val="bottom"/>
            <w:hideMark/>
          </w:tcPr>
          <w:p w:rsidRPr="00C516AE" w:rsidR="00C516AE" w:rsidP="00C516AE" w:rsidRDefault="00C516AE" w14:paraId="53634635" w14:textId="77777777">
            <w:pPr>
              <w:jc w:val="center"/>
              <w:rPr>
                <w:rFonts w:ascii="Verdana" w:hAnsi="Verdana"/>
                <w:bCs/>
                <w:sz w:val="20"/>
                <w:szCs w:val="20"/>
              </w:rPr>
            </w:pPr>
            <w:r w:rsidRPr="00C516AE">
              <w:rPr>
                <w:rFonts w:ascii="Verdana" w:hAnsi="Verdana"/>
                <w:bCs/>
                <w:sz w:val="20"/>
                <w:szCs w:val="20"/>
              </w:rPr>
              <w:t>20KHz</w:t>
            </w:r>
          </w:p>
        </w:tc>
        <w:tc>
          <w:tcPr>
            <w:tcW w:w="4536" w:type="dxa"/>
            <w:tcMar>
              <w:top w:w="15" w:type="dxa"/>
              <w:left w:w="15" w:type="dxa"/>
              <w:bottom w:w="0" w:type="dxa"/>
              <w:right w:w="15" w:type="dxa"/>
            </w:tcMar>
            <w:vAlign w:val="bottom"/>
            <w:hideMark/>
          </w:tcPr>
          <w:p w:rsidRPr="00C516AE" w:rsidR="00C516AE" w:rsidP="00C516AE" w:rsidRDefault="00C516AE" w14:paraId="22893EB7" w14:textId="13FDC9C4">
            <w:pPr>
              <w:jc w:val="center"/>
              <w:rPr>
                <w:rFonts w:ascii="Verdana" w:hAnsi="Verdana"/>
                <w:bCs/>
                <w:sz w:val="20"/>
                <w:szCs w:val="20"/>
              </w:rPr>
            </w:pPr>
            <w:r w:rsidRPr="00C516AE">
              <w:rPr>
                <w:rFonts w:ascii="Verdana" w:hAnsi="Verdana"/>
                <w:bCs/>
                <w:sz w:val="20"/>
                <w:szCs w:val="20"/>
              </w:rPr>
              <w:t>23,25 ± 0,46</w:t>
            </w:r>
            <w:r w:rsidRPr="00C8540D" w:rsidR="00C8540D">
              <w:rPr>
                <w:rFonts w:ascii="Verdana" w:hAnsi="Verdana"/>
                <w:bCs/>
                <w:sz w:val="20"/>
                <w:szCs w:val="20"/>
                <w:vertAlign w:val="superscript"/>
              </w:rPr>
              <w:t>d</w:t>
            </w:r>
          </w:p>
        </w:tc>
      </w:tr>
      <w:tr w:rsidRPr="00C516AE" w:rsidR="00C516AE" w:rsidTr="00C516AE" w14:paraId="38990A35" w14:textId="77777777">
        <w:trPr>
          <w:trHeight w:val="392"/>
        </w:trPr>
        <w:tc>
          <w:tcPr>
            <w:tcW w:w="3119" w:type="dxa"/>
            <w:vMerge/>
            <w:tcBorders>
              <w:bottom w:val="single" w:color="auto" w:sz="4" w:space="0"/>
            </w:tcBorders>
            <w:vAlign w:val="center"/>
            <w:hideMark/>
          </w:tcPr>
          <w:p w:rsidRPr="00C516AE" w:rsidR="00C516AE" w:rsidP="00C516AE" w:rsidRDefault="00C516AE" w14:paraId="22421E85" w14:textId="77777777">
            <w:pPr>
              <w:rPr>
                <w:rFonts w:ascii="Verdana" w:hAnsi="Verdana"/>
                <w:bCs/>
                <w:sz w:val="20"/>
                <w:szCs w:val="20"/>
              </w:rPr>
            </w:pPr>
          </w:p>
        </w:tc>
        <w:tc>
          <w:tcPr>
            <w:tcW w:w="1417" w:type="dxa"/>
            <w:tcBorders>
              <w:bottom w:val="single" w:color="auto" w:sz="4" w:space="0"/>
            </w:tcBorders>
            <w:tcMar>
              <w:top w:w="15" w:type="dxa"/>
              <w:left w:w="15" w:type="dxa"/>
              <w:bottom w:w="0" w:type="dxa"/>
              <w:right w:w="15" w:type="dxa"/>
            </w:tcMar>
            <w:vAlign w:val="bottom"/>
            <w:hideMark/>
          </w:tcPr>
          <w:p w:rsidRPr="00C516AE" w:rsidR="00C516AE" w:rsidP="00C516AE" w:rsidRDefault="00C516AE" w14:paraId="5D999846" w14:textId="77777777">
            <w:pPr>
              <w:jc w:val="center"/>
              <w:rPr>
                <w:rFonts w:ascii="Verdana" w:hAnsi="Verdana"/>
                <w:bCs/>
                <w:sz w:val="20"/>
                <w:szCs w:val="20"/>
              </w:rPr>
            </w:pPr>
            <w:r w:rsidRPr="00C516AE">
              <w:rPr>
                <w:rFonts w:ascii="Verdana" w:hAnsi="Verdana"/>
                <w:bCs/>
                <w:sz w:val="20"/>
                <w:szCs w:val="20"/>
              </w:rPr>
              <w:t>40KHz</w:t>
            </w:r>
          </w:p>
        </w:tc>
        <w:tc>
          <w:tcPr>
            <w:tcW w:w="4536" w:type="dxa"/>
            <w:tcBorders>
              <w:bottom w:val="single" w:color="auto" w:sz="4" w:space="0"/>
            </w:tcBorders>
            <w:tcMar>
              <w:top w:w="15" w:type="dxa"/>
              <w:left w:w="15" w:type="dxa"/>
              <w:bottom w:w="0" w:type="dxa"/>
              <w:right w:w="15" w:type="dxa"/>
            </w:tcMar>
            <w:vAlign w:val="bottom"/>
            <w:hideMark/>
          </w:tcPr>
          <w:p w:rsidRPr="00C516AE" w:rsidR="00C516AE" w:rsidP="00C516AE" w:rsidRDefault="00C516AE" w14:paraId="6873ABF7" w14:textId="5556C42A">
            <w:pPr>
              <w:jc w:val="center"/>
              <w:rPr>
                <w:rFonts w:ascii="Verdana" w:hAnsi="Verdana"/>
                <w:bCs/>
                <w:sz w:val="20"/>
                <w:szCs w:val="20"/>
              </w:rPr>
            </w:pPr>
            <w:r w:rsidRPr="00C516AE">
              <w:rPr>
                <w:rFonts w:ascii="Verdana" w:hAnsi="Verdana"/>
                <w:bCs/>
                <w:sz w:val="20"/>
                <w:szCs w:val="20"/>
              </w:rPr>
              <w:t>33,62 ± 0,92</w:t>
            </w:r>
            <w:r w:rsidRPr="00C8540D" w:rsidR="00C8540D">
              <w:rPr>
                <w:rFonts w:ascii="Verdana" w:hAnsi="Verdana"/>
                <w:bCs/>
                <w:sz w:val="20"/>
                <w:szCs w:val="20"/>
                <w:vertAlign w:val="superscript"/>
              </w:rPr>
              <w:t>c</w:t>
            </w:r>
          </w:p>
        </w:tc>
      </w:tr>
    </w:tbl>
    <w:p w:rsidRPr="009274F4" w:rsidR="00A316A5" w:rsidP="009274F4" w:rsidRDefault="009274F4" w14:paraId="1BA0F93F" w14:textId="1380E0F2">
      <w:pPr>
        <w:jc w:val="both"/>
        <w:rPr>
          <w:rFonts w:ascii="Verdana" w:hAnsi="Verdana"/>
          <w:bCs/>
          <w:sz w:val="20"/>
          <w:szCs w:val="20"/>
        </w:rPr>
      </w:pPr>
      <w:r w:rsidRPr="009274F4">
        <w:rPr>
          <w:rFonts w:ascii="Verdana" w:hAnsi="Verdana"/>
          <w:bCs/>
          <w:sz w:val="20"/>
          <w:szCs w:val="20"/>
        </w:rPr>
        <w:t>Letras en la misma columna (a) indican diferencias significativas entre las medias calculadas a través de la prueba de Fischer (p</w:t>
      </w:r>
      <w:r>
        <w:rPr>
          <w:rFonts w:ascii="Verdana" w:hAnsi="Verdana"/>
          <w:bCs/>
          <w:sz w:val="20"/>
          <w:szCs w:val="20"/>
        </w:rPr>
        <w:t>&lt;</w:t>
      </w:r>
      <w:r w:rsidRPr="009274F4">
        <w:rPr>
          <w:rFonts w:ascii="Verdana" w:hAnsi="Verdana"/>
          <w:bCs/>
          <w:sz w:val="20"/>
          <w:szCs w:val="20"/>
        </w:rPr>
        <w:t>0,05).</w:t>
      </w:r>
    </w:p>
    <w:p w:rsidR="009274F4" w:rsidP="00A316A5" w:rsidRDefault="009274F4" w14:paraId="57BA7681" w14:textId="77777777">
      <w:pPr>
        <w:jc w:val="both"/>
        <w:rPr>
          <w:rFonts w:ascii="Verdana" w:hAnsi="Verdana"/>
          <w:b/>
          <w:sz w:val="24"/>
          <w:szCs w:val="24"/>
          <w:highlight w:val="yellow"/>
        </w:rPr>
      </w:pPr>
    </w:p>
    <w:p w:rsidRPr="00A316A5" w:rsidR="00A316A5" w:rsidP="1FCAC7CA" w:rsidRDefault="00A316A5" w14:paraId="087AC76F" w14:textId="606C88E8">
      <w:pPr>
        <w:jc w:val="both"/>
        <w:rPr>
          <w:rFonts w:ascii="Verdana" w:hAnsi="Verdana"/>
          <w:b w:val="1"/>
          <w:bCs w:val="1"/>
          <w:sz w:val="24"/>
          <w:szCs w:val="24"/>
        </w:rPr>
      </w:pPr>
      <w:r w:rsidRPr="1FCAC7CA" w:rsidR="0DD066AF">
        <w:rPr>
          <w:rFonts w:ascii="Verdana" w:hAnsi="Verdana"/>
          <w:b w:val="1"/>
          <w:bCs w:val="1"/>
          <w:sz w:val="24"/>
          <w:szCs w:val="24"/>
        </w:rPr>
        <w:t>Cromatografía Líquida de Ultra Rendimiento acoplada a Espectrometría de Masas (UPLC-MS)</w:t>
      </w:r>
      <w:r w:rsidRPr="1FCAC7CA" w:rsidR="00A316A5">
        <w:rPr>
          <w:rFonts w:ascii="Verdana" w:hAnsi="Verdana"/>
          <w:b w:val="1"/>
          <w:bCs w:val="1"/>
          <w:sz w:val="24"/>
          <w:szCs w:val="24"/>
        </w:rPr>
        <w:t>:</w:t>
      </w:r>
      <w:r w:rsidRPr="1FCAC7CA" w:rsidR="00A316A5">
        <w:rPr>
          <w:rFonts w:ascii="Verdana" w:hAnsi="Verdana"/>
          <w:b w:val="1"/>
          <w:bCs w:val="1"/>
          <w:sz w:val="24"/>
          <w:szCs w:val="24"/>
        </w:rPr>
        <w:t xml:space="preserve"> </w:t>
      </w:r>
    </w:p>
    <w:p w:rsidRPr="00BF1E83" w:rsidR="00672AA0" w:rsidP="00BF1E83" w:rsidRDefault="004D0244" w14:paraId="030E833D" w14:textId="4221685A">
      <w:pPr>
        <w:jc w:val="both"/>
        <w:rPr>
          <w:rFonts w:ascii="Verdana" w:hAnsi="Verdana"/>
          <w:sz w:val="24"/>
          <w:szCs w:val="24"/>
          <w:lang w:val="es-ES"/>
        </w:rPr>
      </w:pPr>
      <w:r w:rsidRPr="004D0244">
        <w:rPr>
          <w:rFonts w:ascii="Verdana" w:hAnsi="Verdana"/>
          <w:sz w:val="24"/>
          <w:szCs w:val="24"/>
        </w:rPr>
        <w:t>El análisis UPLC–MS del extracto etanol/ácido cítrico pH 3,5 (20 kHz) permitió obtener espectros de masas y fragmentación (MS/MS) que posibilitan la asignación preliminar de compuestos fenólicos presentes en el pericarpio de </w:t>
      </w:r>
      <w:proofErr w:type="spellStart"/>
      <w:r w:rsidRPr="004D0244">
        <w:rPr>
          <w:rFonts w:ascii="Verdana" w:hAnsi="Verdana"/>
          <w:i/>
          <w:iCs/>
          <w:sz w:val="24"/>
          <w:szCs w:val="24"/>
        </w:rPr>
        <w:t>Garcinia</w:t>
      </w:r>
      <w:proofErr w:type="spellEnd"/>
      <w:r w:rsidRPr="004D0244">
        <w:rPr>
          <w:rFonts w:ascii="Verdana" w:hAnsi="Verdana"/>
          <w:i/>
          <w:iCs/>
          <w:sz w:val="24"/>
          <w:szCs w:val="24"/>
        </w:rPr>
        <w:t xml:space="preserve"> </w:t>
      </w:r>
      <w:proofErr w:type="spellStart"/>
      <w:r w:rsidRPr="004D0244">
        <w:rPr>
          <w:rFonts w:ascii="Verdana" w:hAnsi="Verdana"/>
          <w:i/>
          <w:iCs/>
          <w:sz w:val="24"/>
          <w:szCs w:val="24"/>
        </w:rPr>
        <w:t>mangostana</w:t>
      </w:r>
      <w:proofErr w:type="spellEnd"/>
      <w:r w:rsidRPr="004D0244">
        <w:rPr>
          <w:rFonts w:ascii="Verdana" w:hAnsi="Verdana"/>
          <w:sz w:val="24"/>
          <w:szCs w:val="24"/>
        </w:rPr>
        <w:t>.</w:t>
      </w:r>
      <w:r w:rsidR="007B04EF">
        <w:rPr>
          <w:rFonts w:ascii="Verdana" w:hAnsi="Verdana"/>
          <w:sz w:val="24"/>
          <w:szCs w:val="24"/>
        </w:rPr>
        <w:t xml:space="preserve"> </w:t>
      </w:r>
      <w:r w:rsidRPr="007B04EF" w:rsidR="007B04EF">
        <w:rPr>
          <w:rFonts w:ascii="Verdana" w:hAnsi="Verdana"/>
          <w:sz w:val="24"/>
          <w:szCs w:val="24"/>
        </w:rPr>
        <w:t>Se detectó un ion cuasi-molecular [M]</w:t>
      </w:r>
      <w:r w:rsidRPr="007B04EF" w:rsidR="007B04EF">
        <w:rPr>
          <w:rFonts w:ascii="Verdana" w:hAnsi="Verdana"/>
          <w:sz w:val="24"/>
          <w:szCs w:val="24"/>
          <w:vertAlign w:val="superscript"/>
        </w:rPr>
        <w:t>+</w:t>
      </w:r>
      <w:r w:rsidRPr="007B04EF" w:rsidR="007B04EF">
        <w:rPr>
          <w:rFonts w:ascii="Verdana" w:hAnsi="Verdana"/>
          <w:sz w:val="24"/>
          <w:szCs w:val="24"/>
        </w:rPr>
        <w:t xml:space="preserve"> m/z 611</w:t>
      </w:r>
      <w:r w:rsidR="00BF1E83">
        <w:rPr>
          <w:rFonts w:ascii="Verdana" w:hAnsi="Verdana"/>
          <w:sz w:val="24"/>
          <w:szCs w:val="24"/>
        </w:rPr>
        <w:t xml:space="preserve"> (Figura 3)</w:t>
      </w:r>
      <w:r w:rsidRPr="007B04EF" w:rsidR="007B04EF">
        <w:rPr>
          <w:rFonts w:ascii="Verdana" w:hAnsi="Verdana"/>
          <w:sz w:val="24"/>
          <w:szCs w:val="24"/>
        </w:rPr>
        <w:t xml:space="preserve">, cuya fragmentación condujo a señales en m/z 449 y m/z 287. Este patrón de pérdidas secuenciales de unidades </w:t>
      </w:r>
      <w:r w:rsidRPr="007B04EF" w:rsidR="007B04EF">
        <w:rPr>
          <w:rFonts w:ascii="Verdana" w:hAnsi="Verdana"/>
          <w:sz w:val="24"/>
          <w:szCs w:val="24"/>
        </w:rPr>
        <w:lastRenderedPageBreak/>
        <w:t>hexosas (162 u) es característico de </w:t>
      </w:r>
      <w:r w:rsidRPr="00A026E7" w:rsidR="007B04EF">
        <w:rPr>
          <w:rFonts w:ascii="Verdana" w:hAnsi="Verdana"/>
          <w:sz w:val="24"/>
          <w:szCs w:val="24"/>
        </w:rPr>
        <w:t>cianidina-3-sophorósido</w:t>
      </w:r>
      <w:r w:rsidRPr="007B04EF" w:rsidR="007B04EF">
        <w:rPr>
          <w:rFonts w:ascii="Verdana" w:hAnsi="Verdana"/>
          <w:sz w:val="24"/>
          <w:szCs w:val="24"/>
        </w:rPr>
        <w:t xml:space="preserve">, liberando primero un </w:t>
      </w:r>
      <w:proofErr w:type="spellStart"/>
      <w:r w:rsidRPr="007B04EF" w:rsidR="007B04EF">
        <w:rPr>
          <w:rFonts w:ascii="Verdana" w:hAnsi="Verdana"/>
          <w:sz w:val="24"/>
          <w:szCs w:val="24"/>
        </w:rPr>
        <w:t>monohexósido</w:t>
      </w:r>
      <w:proofErr w:type="spellEnd"/>
      <w:r w:rsidRPr="007B04EF" w:rsidR="007B04EF">
        <w:rPr>
          <w:rFonts w:ascii="Verdana" w:hAnsi="Verdana"/>
          <w:sz w:val="24"/>
          <w:szCs w:val="24"/>
        </w:rPr>
        <w:t xml:space="preserve"> (m/z 449) y posteriormente el </w:t>
      </w:r>
      <w:proofErr w:type="spellStart"/>
      <w:r w:rsidRPr="007B04EF" w:rsidR="007B04EF">
        <w:rPr>
          <w:rFonts w:ascii="Verdana" w:hAnsi="Verdana"/>
          <w:sz w:val="24"/>
          <w:szCs w:val="24"/>
        </w:rPr>
        <w:t>aglicón</w:t>
      </w:r>
      <w:proofErr w:type="spellEnd"/>
      <w:r w:rsidRPr="007B04EF" w:rsidR="007B04EF">
        <w:rPr>
          <w:rFonts w:ascii="Verdana" w:hAnsi="Verdana"/>
          <w:sz w:val="24"/>
          <w:szCs w:val="24"/>
        </w:rPr>
        <w:t xml:space="preserve"> de </w:t>
      </w:r>
      <w:proofErr w:type="spellStart"/>
      <w:r w:rsidRPr="007B04EF" w:rsidR="007B04EF">
        <w:rPr>
          <w:rFonts w:ascii="Verdana" w:hAnsi="Verdana"/>
          <w:sz w:val="24"/>
          <w:szCs w:val="24"/>
        </w:rPr>
        <w:t>cianidina</w:t>
      </w:r>
      <w:proofErr w:type="spellEnd"/>
      <w:r w:rsidRPr="007B04EF" w:rsidR="007B04EF">
        <w:rPr>
          <w:rFonts w:ascii="Verdana" w:hAnsi="Verdana"/>
          <w:sz w:val="24"/>
          <w:szCs w:val="24"/>
        </w:rPr>
        <w:t xml:space="preserve"> (m/z 287). Estos fragmentos concuerdan con reportes previos de antocianinas di-glicosiladas en frutos con matrices ricas en pigmentos </w:t>
      </w:r>
      <w:proofErr w:type="spellStart"/>
      <w:r w:rsidRPr="007B04EF" w:rsidR="007B04EF">
        <w:rPr>
          <w:rFonts w:ascii="Verdana" w:hAnsi="Verdana"/>
          <w:sz w:val="24"/>
          <w:szCs w:val="24"/>
        </w:rPr>
        <w:t>flavílicos</w:t>
      </w:r>
      <w:proofErr w:type="spellEnd"/>
      <w:r w:rsidR="00E514BB">
        <w:rPr>
          <w:rFonts w:ascii="Verdana" w:hAnsi="Verdana"/>
          <w:sz w:val="24"/>
          <w:szCs w:val="24"/>
        </w:rPr>
        <w:fldChar w:fldCharType="begin" w:fldLock="1"/>
      </w:r>
      <w:r w:rsidR="00E514BB">
        <w:rPr>
          <w:rFonts w:ascii="Verdana" w:hAnsi="Verdana"/>
          <w:sz w:val="24"/>
          <w:szCs w:val="24"/>
        </w:rPr>
        <w:instrText>ADDIN CSL_CITATION {"citationItems":[{"id":"ITEM-1","itemData":{"DOI":"10.1177/1082013220962630","ISSN":"15321738","PMID":"33016124","abstract":"Mangosteen peel is a source of natural phenolic antioxidants. During processing, the quality and quantity of these compounds in the final product are altered. Sometimes, the important causal relationships are not easy to establish and thus process management is difficult. This is especially true when biochemical changes can occur as in the case of the drying and extraction process of bioactive materials. The aim of this work was to formulate and solve an optimization problem in order to obtain the appropriate values of the operating conditions that maximize the antioxidant capacity of the dried mangosteen peel extracts. The drying process was analyzed under different drying air temperatures (T) (50</w:instrText>
      </w:r>
      <w:r w:rsidR="00E514BB">
        <w:rPr>
          <w:rFonts w:ascii="Cambria Math" w:hAnsi="Cambria Math" w:cs="Cambria Math"/>
          <w:sz w:val="24"/>
          <w:szCs w:val="24"/>
        </w:rPr>
        <w:instrText>℃</w:instrText>
      </w:r>
      <w:r w:rsidR="00E514BB">
        <w:rPr>
          <w:rFonts w:ascii="Verdana" w:hAnsi="Verdana"/>
          <w:sz w:val="24"/>
          <w:szCs w:val="24"/>
        </w:rPr>
        <w:instrText>, 60</w:instrText>
      </w:r>
      <w:r w:rsidR="00E514BB">
        <w:rPr>
          <w:rFonts w:ascii="Cambria Math" w:hAnsi="Cambria Math" w:cs="Cambria Math"/>
          <w:sz w:val="24"/>
          <w:szCs w:val="24"/>
        </w:rPr>
        <w:instrText>℃</w:instrText>
      </w:r>
      <w:r w:rsidR="00E514BB">
        <w:rPr>
          <w:rFonts w:ascii="Verdana" w:hAnsi="Verdana"/>
          <w:sz w:val="24"/>
          <w:szCs w:val="24"/>
        </w:rPr>
        <w:instrText>, 70</w:instrText>
      </w:r>
      <w:r w:rsidR="00E514BB">
        <w:rPr>
          <w:rFonts w:ascii="Cambria Math" w:hAnsi="Cambria Math" w:cs="Cambria Math"/>
          <w:sz w:val="24"/>
          <w:szCs w:val="24"/>
        </w:rPr>
        <w:instrText>℃</w:instrText>
      </w:r>
      <w:r w:rsidR="00E514BB">
        <w:rPr>
          <w:rFonts w:ascii="Verdana" w:hAnsi="Verdana"/>
          <w:sz w:val="24"/>
          <w:szCs w:val="24"/>
        </w:rPr>
        <w:instrText xml:space="preserve"> and 80</w:instrText>
      </w:r>
      <w:r w:rsidR="00E514BB">
        <w:rPr>
          <w:rFonts w:ascii="Cambria Math" w:hAnsi="Cambria Math" w:cs="Cambria Math"/>
          <w:sz w:val="24"/>
          <w:szCs w:val="24"/>
        </w:rPr>
        <w:instrText>℃</w:instrText>
      </w:r>
      <w:r w:rsidR="00E514BB">
        <w:rPr>
          <w:rFonts w:ascii="Verdana" w:hAnsi="Verdana"/>
          <w:sz w:val="24"/>
          <w:szCs w:val="24"/>
        </w:rPr>
        <w:instrText>) at air velocity of 1 ms−1. The extraction process was done under conventional and ultrasound-assisted extraction at 400 W. Antioxidant capacity was measured by 1,1-diphenyl-2-picrylhydrazyl assay. To solve the optimization problem formulated, an artificial neural network was developed. The resolution of the optimization problem allowed the establishment of the optimal operating conditions of the process, maximizing the antioxidant capacity values depending on the characteristics of the process. Results showed that the best operating conditions to maximize the antioxidant capacity of mangosteen peels were a drying temperature of 70</w:instrText>
      </w:r>
      <w:r w:rsidR="00E514BB">
        <w:rPr>
          <w:rFonts w:ascii="Cambria Math" w:hAnsi="Cambria Math" w:cs="Cambria Math"/>
          <w:sz w:val="24"/>
          <w:szCs w:val="24"/>
        </w:rPr>
        <w:instrText>℃</w:instrText>
      </w:r>
      <w:r w:rsidR="00E514BB">
        <w:rPr>
          <w:rFonts w:ascii="Verdana" w:hAnsi="Verdana"/>
          <w:sz w:val="24"/>
          <w:szCs w:val="24"/>
        </w:rPr>
        <w:instrText xml:space="preserve"> and using high-power ultrasound as extraction method.","author":[{"dropping-particle":"","family":"García","given":"Mónica Leon","non-dropping-particle":"","parse-names":false,"suffix":""},{"dropping-particle":"","family":"Carrión","given":"María Hernández","non-dropping-particle":"","parse-names":false,"suffix":""},{"dropping-particle":"","family":"Escobar","given":"Sebastián","non-dropping-particle":"","parse-names":false,"suffix":""},{"dropping-particle":"","family":"Rodríguez","given":"Aureliano","non-dropping-particle":"","parse-names":false,"suffix":""},{"dropping-particle":"","family":"Cortina","given":"Jader Rodríguez","non-dropping-particle":"","parse-names":false,"suffix":""}],"container-title":"Food Science and Technology International","id":"ITEM-1","issue":"5","issued":{"date-parts":[["2021","7","1"]]},"page":"404-412","publisher":"SAGE Publications Inc.","title":"Optimization of the antioxidant capacity of mangosteen peels (Garcinia mangostana L.) extracts: Management of the drying extraction processes","type":"article-journal","volume":"27"},"uris":["http://www.mendeley.com/documents/?uuid=a74a7296-d0d6-36da-8d69-67f252f3e8e7"]}],"mendeley":{"formattedCitation":"(García, Carrión, Escobar, Rodríguez, &amp; Cortina, 2021)","plainTextFormattedCitation":"(García, Carrión, Escobar, Rodríguez, &amp; Cortina, 2021)","previouslyFormattedCitation":"(García, Carrión, Escobar, Rodríguez, &amp; Cortina, 2021)"},"properties":{"noteIndex":0},"schema":"https://github.com/citation-style-language/schema/raw/master/csl-citation.json"}</w:instrText>
      </w:r>
      <w:r w:rsidR="00E514BB">
        <w:rPr>
          <w:rFonts w:ascii="Verdana" w:hAnsi="Verdana"/>
          <w:sz w:val="24"/>
          <w:szCs w:val="24"/>
        </w:rPr>
        <w:fldChar w:fldCharType="separate"/>
      </w:r>
      <w:r w:rsidRPr="00E514BB" w:rsidR="00E514BB">
        <w:rPr>
          <w:rFonts w:ascii="Verdana" w:hAnsi="Verdana"/>
          <w:noProof/>
          <w:sz w:val="24"/>
          <w:szCs w:val="24"/>
        </w:rPr>
        <w:t>(García, Carrión, Escobar, Rodríguez, &amp; Cortina, 2021)</w:t>
      </w:r>
      <w:r w:rsidR="00E514BB">
        <w:rPr>
          <w:rFonts w:ascii="Verdana" w:hAnsi="Verdana"/>
          <w:sz w:val="24"/>
          <w:szCs w:val="24"/>
        </w:rPr>
        <w:fldChar w:fldCharType="end"/>
      </w:r>
      <w:r w:rsidRPr="007B04EF" w:rsidR="007B04EF">
        <w:rPr>
          <w:rFonts w:ascii="Verdana" w:hAnsi="Verdana"/>
          <w:sz w:val="24"/>
          <w:szCs w:val="24"/>
        </w:rPr>
        <w:t>. La asignación, aunque preliminar, sugiere que esta antocianina es uno de los compuestos dominantes en el extracto.</w:t>
      </w:r>
    </w:p>
    <w:p w:rsidR="009610E4" w:rsidP="007A61C1" w:rsidRDefault="00D6629B" w14:paraId="1B70EE13" w14:textId="13E02465">
      <w:pPr>
        <w:rPr>
          <w:rFonts w:ascii="Verdana" w:hAnsi="Verdana"/>
          <w:b/>
          <w:bCs/>
          <w:sz w:val="24"/>
          <w:szCs w:val="24"/>
        </w:rPr>
      </w:pPr>
      <w:r w:rsidRPr="00D6629B">
        <w:rPr>
          <w:rFonts w:ascii="Verdana" w:hAnsi="Verdana"/>
          <w:b/>
          <w:bCs/>
          <w:noProof/>
          <w:sz w:val="24"/>
          <w:szCs w:val="24"/>
        </w:rPr>
        <w:drawing>
          <wp:inline distT="0" distB="0" distL="0" distR="0" wp14:anchorId="18E0E36D" wp14:editId="61A3DCDA">
            <wp:extent cx="5612130" cy="3643630"/>
            <wp:effectExtent l="0" t="0" r="0" b="0"/>
            <wp:docPr id="4449933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93349" name=""/>
                    <pic:cNvPicPr/>
                  </pic:nvPicPr>
                  <pic:blipFill>
                    <a:blip r:embed="rId13"/>
                    <a:stretch>
                      <a:fillRect/>
                    </a:stretch>
                  </pic:blipFill>
                  <pic:spPr>
                    <a:xfrm>
                      <a:off x="0" y="0"/>
                      <a:ext cx="5612130" cy="3643630"/>
                    </a:xfrm>
                    <a:prstGeom prst="rect">
                      <a:avLst/>
                    </a:prstGeom>
                  </pic:spPr>
                </pic:pic>
              </a:graphicData>
            </a:graphic>
          </wp:inline>
        </w:drawing>
      </w:r>
    </w:p>
    <w:p w:rsidRPr="00BF1E83" w:rsidR="00BF1E83" w:rsidP="1FCAC7CA" w:rsidRDefault="00BF1E83" w14:paraId="191751FA" w14:textId="1D0BD7B0" w14:noSpellErr="1">
      <w:pPr>
        <w:jc w:val="both"/>
        <w:rPr>
          <w:rFonts w:ascii="Verdana" w:hAnsi="Verdana"/>
          <w:sz w:val="20"/>
          <w:szCs w:val="20"/>
        </w:rPr>
      </w:pPr>
      <w:r w:rsidRPr="1FCAC7CA" w:rsidR="00BF1E83">
        <w:rPr>
          <w:rFonts w:ascii="Verdana" w:hAnsi="Verdana"/>
          <w:b w:val="1"/>
          <w:bCs w:val="1"/>
          <w:i w:val="1"/>
          <w:iCs w:val="1"/>
          <w:sz w:val="20"/>
          <w:szCs w:val="20"/>
        </w:rPr>
        <w:t xml:space="preserve">Figura </w:t>
      </w:r>
      <w:r w:rsidRPr="1FCAC7CA" w:rsidR="00BF1E83">
        <w:rPr>
          <w:rFonts w:ascii="Verdana" w:hAnsi="Verdana"/>
          <w:b w:val="1"/>
          <w:bCs w:val="1"/>
          <w:i w:val="1"/>
          <w:iCs w:val="1"/>
          <w:sz w:val="20"/>
          <w:szCs w:val="20"/>
        </w:rPr>
        <w:t>3</w:t>
      </w:r>
      <w:r w:rsidRPr="1FCAC7CA" w:rsidR="00BF1E83">
        <w:rPr>
          <w:rFonts w:ascii="Verdana" w:hAnsi="Verdana"/>
          <w:b w:val="1"/>
          <w:bCs w:val="1"/>
          <w:i w:val="1"/>
          <w:iCs w:val="1"/>
          <w:sz w:val="20"/>
          <w:szCs w:val="20"/>
        </w:rPr>
        <w:t>.</w:t>
      </w:r>
      <w:r w:rsidRPr="1FCAC7CA" w:rsidR="00BF1E83">
        <w:rPr>
          <w:rFonts w:ascii="Verdana" w:hAnsi="Verdana"/>
          <w:i w:val="1"/>
          <w:iCs w:val="1"/>
          <w:sz w:val="20"/>
          <w:szCs w:val="20"/>
        </w:rPr>
        <w:t> </w:t>
      </w:r>
      <w:r w:rsidRPr="1FCAC7CA" w:rsidR="00BF1E83">
        <w:rPr>
          <w:rFonts w:ascii="Verdana" w:hAnsi="Verdana"/>
          <w:sz w:val="20"/>
          <w:szCs w:val="20"/>
        </w:rPr>
        <w:t>Espectro de masas obtenido para el pico cromatográfico asignado a cianidina-3-sophorósido ([M]</w:t>
      </w:r>
      <w:r w:rsidRPr="1FCAC7CA" w:rsidR="00BF1E83">
        <w:rPr>
          <w:rFonts w:ascii="Verdana" w:hAnsi="Verdana"/>
          <w:sz w:val="20"/>
          <w:szCs w:val="20"/>
          <w:vertAlign w:val="superscript"/>
        </w:rPr>
        <w:t>+</w:t>
      </w:r>
      <w:r w:rsidRPr="1FCAC7CA" w:rsidR="00BF1E83">
        <w:rPr>
          <w:rFonts w:ascii="Verdana" w:hAnsi="Verdana"/>
          <w:sz w:val="20"/>
          <w:szCs w:val="20"/>
        </w:rPr>
        <w:t xml:space="preserve"> m/z 611). </w:t>
      </w:r>
    </w:p>
    <w:p w:rsidRPr="002F5D48" w:rsidR="00D6629B" w:rsidP="002F5D48" w:rsidRDefault="002F5D48" w14:paraId="09B42416" w14:textId="4C7471B1">
      <w:pPr>
        <w:jc w:val="both"/>
        <w:rPr>
          <w:rFonts w:ascii="Verdana" w:hAnsi="Verdana"/>
          <w:sz w:val="24"/>
          <w:szCs w:val="24"/>
        </w:rPr>
      </w:pPr>
      <w:r w:rsidRPr="1FCAC7CA" w:rsidR="002F5D48">
        <w:rPr>
          <w:rFonts w:ascii="Verdana" w:hAnsi="Verdana"/>
          <w:sz w:val="24"/>
          <w:szCs w:val="24"/>
        </w:rPr>
        <w:t>Además de las antocianinas, se observaron señales en [M]</w:t>
      </w:r>
      <w:r w:rsidRPr="1FCAC7CA" w:rsidR="002F5D48">
        <w:rPr>
          <w:rFonts w:ascii="Verdana" w:hAnsi="Verdana"/>
          <w:sz w:val="24"/>
          <w:szCs w:val="24"/>
          <w:vertAlign w:val="superscript"/>
        </w:rPr>
        <w:t>+</w:t>
      </w:r>
      <w:r w:rsidRPr="1FCAC7CA" w:rsidR="002F5D48">
        <w:rPr>
          <w:rFonts w:ascii="Verdana" w:hAnsi="Verdana"/>
          <w:sz w:val="24"/>
          <w:szCs w:val="24"/>
        </w:rPr>
        <w:t xml:space="preserve"> m/z 427 y [M]</w:t>
      </w:r>
      <w:r w:rsidRPr="1FCAC7CA" w:rsidR="002F5D48">
        <w:rPr>
          <w:rFonts w:ascii="Verdana" w:hAnsi="Verdana"/>
          <w:sz w:val="24"/>
          <w:szCs w:val="24"/>
          <w:vertAlign w:val="superscript"/>
        </w:rPr>
        <w:t>+</w:t>
      </w:r>
      <w:r w:rsidRPr="1FCAC7CA" w:rsidR="002F5D48">
        <w:rPr>
          <w:rFonts w:ascii="Verdana" w:hAnsi="Verdana"/>
          <w:sz w:val="24"/>
          <w:szCs w:val="24"/>
        </w:rPr>
        <w:t xml:space="preserve"> m/z 413, con fragmentos característicos en m/z 353/412 y m/z 297/283, respectivamente</w:t>
      </w:r>
      <w:r w:rsidRPr="1FCAC7CA" w:rsidR="00E55412">
        <w:rPr>
          <w:rFonts w:ascii="Verdana" w:hAnsi="Verdana"/>
          <w:sz w:val="24"/>
          <w:szCs w:val="24"/>
        </w:rPr>
        <w:t xml:space="preserve"> (Figura 4)</w:t>
      </w:r>
      <w:r w:rsidRPr="1FCAC7CA" w:rsidR="002F5D48">
        <w:rPr>
          <w:rFonts w:ascii="Verdana" w:hAnsi="Verdana"/>
          <w:sz w:val="24"/>
          <w:szCs w:val="24"/>
        </w:rPr>
        <w:t>. Estos perfiles corresponden a </w:t>
      </w:r>
      <w:r w:rsidRPr="1FCAC7CA" w:rsidR="002F5D48">
        <w:rPr>
          <w:rFonts w:ascii="Verdana" w:hAnsi="Verdana"/>
          <w:sz w:val="24"/>
          <w:szCs w:val="24"/>
        </w:rPr>
        <w:t>garcinona</w:t>
      </w:r>
      <w:r w:rsidRPr="1FCAC7CA" w:rsidR="002F5D48">
        <w:rPr>
          <w:rFonts w:ascii="Verdana" w:hAnsi="Verdana"/>
          <w:sz w:val="24"/>
          <w:szCs w:val="24"/>
        </w:rPr>
        <w:t xml:space="preserve"> D (m/z 427) y </w:t>
      </w:r>
      <w:r w:rsidRPr="1FCAC7CA" w:rsidR="002F5D48">
        <w:rPr>
          <w:rFonts w:ascii="Verdana" w:hAnsi="Verdana"/>
          <w:sz w:val="24"/>
          <w:szCs w:val="24"/>
        </w:rPr>
        <w:t>garcinona</w:t>
      </w:r>
      <w:r w:rsidRPr="1FCAC7CA" w:rsidR="002F5D48">
        <w:rPr>
          <w:rFonts w:ascii="Verdana" w:hAnsi="Verdana"/>
          <w:sz w:val="24"/>
          <w:szCs w:val="24"/>
        </w:rPr>
        <w:t xml:space="preserve"> </w:t>
      </w:r>
      <w:r w:rsidRPr="1FCAC7CA" w:rsidR="002F5D48">
        <w:rPr>
          <w:rFonts w:ascii="Verdana" w:hAnsi="Verdana"/>
          <w:sz w:val="24"/>
          <w:szCs w:val="24"/>
        </w:rPr>
        <w:t>C</w:t>
      </w:r>
      <w:r w:rsidRPr="1FCAC7CA" w:rsidR="6A68AA51">
        <w:rPr>
          <w:rFonts w:ascii="Verdana" w:hAnsi="Verdana"/>
          <w:sz w:val="24"/>
          <w:szCs w:val="24"/>
        </w:rPr>
        <w:t xml:space="preserve"> </w:t>
      </w:r>
      <w:r w:rsidRPr="1FCAC7CA" w:rsidR="002F5D48">
        <w:rPr>
          <w:rFonts w:ascii="Verdana" w:hAnsi="Verdana"/>
          <w:sz w:val="24"/>
          <w:szCs w:val="24"/>
        </w:rPr>
        <w:t>(</w:t>
      </w:r>
      <w:r w:rsidRPr="1FCAC7CA" w:rsidR="002F5D48">
        <w:rPr>
          <w:rFonts w:ascii="Verdana" w:hAnsi="Verdana"/>
          <w:sz w:val="24"/>
          <w:szCs w:val="24"/>
        </w:rPr>
        <w:t xml:space="preserve">m/z 413), dos </w:t>
      </w:r>
      <w:r w:rsidRPr="1FCAC7CA" w:rsidR="002F5D48">
        <w:rPr>
          <w:rFonts w:ascii="Verdana" w:hAnsi="Verdana"/>
          <w:sz w:val="24"/>
          <w:szCs w:val="24"/>
        </w:rPr>
        <w:t>xantonas</w:t>
      </w:r>
      <w:r w:rsidRPr="1FCAC7CA" w:rsidR="002F5D48">
        <w:rPr>
          <w:rFonts w:ascii="Verdana" w:hAnsi="Verdana"/>
          <w:sz w:val="24"/>
          <w:szCs w:val="24"/>
        </w:rPr>
        <w:t xml:space="preserve"> ampliamente reportadas en el pericarpio de mangostino y reconocidas por su actividad biológica (antioxidante, antiinflamatoria y </w:t>
      </w:r>
      <w:r w:rsidRPr="1FCAC7CA" w:rsidR="002F5D48">
        <w:rPr>
          <w:rFonts w:ascii="Verdana" w:hAnsi="Verdana"/>
          <w:sz w:val="24"/>
          <w:szCs w:val="24"/>
        </w:rPr>
        <w:t>antiproliferativa</w:t>
      </w:r>
      <w:r w:rsidRPr="1FCAC7CA" w:rsidR="002F5D48">
        <w:rPr>
          <w:rFonts w:ascii="Verdana" w:hAnsi="Verdana"/>
          <w:sz w:val="24"/>
          <w:szCs w:val="24"/>
        </w:rPr>
        <w:t>)</w:t>
      </w:r>
      <w:r w:rsidRPr="1FCAC7CA">
        <w:rPr>
          <w:rFonts w:ascii="Verdana" w:hAnsi="Verdana"/>
          <w:sz w:val="24"/>
          <w:szCs w:val="24"/>
        </w:rPr>
        <w:fldChar w:fldCharType="begin" w:fldLock="true"/>
      </w:r>
      <w:r w:rsidRPr="1FCAC7CA">
        <w:rPr>
          <w:rFonts w:ascii="Verdana" w:hAnsi="Verdana"/>
          <w:sz w:val="24"/>
          <w:szCs w:val="24"/>
        </w:rPr>
        <w:instrText xml:space="preserve">ADDIN CSL_CITATION {"citationItems":[{"id":"ITEM-1","itemData":{"DOI":"10.1016/j.foodchem.2012.02.094","ISSN":"03088146","author":[{"dropping-particle":"","family":"Wittenauer","given":"Judith","non-dropping-particle":"","parse-names":false,"suffix":""},{"dropping-particle":"","family":"Falk","given":"Susanne","non-dropping-particle":"","parse-names":false,"suffix":""},{"dropping-particle":"","family":"Schweiggert-Weisz","given":"Ute","non-dropping-particle":"","parse-names":false,"suffix":""},{"dropping-particle":"","family":"Carle","given":"Reinhold","non-dropping-particle":"","parse-names":false,"suffix":""}],"container-title":"Food Chemistry","id":"ITEM-1","issue":"1","issued":{"date-parts":[["2012","9"]]},"page":"445-452","title":"Characterisation and quantification of xanthones from the aril and pericarp of mangosteens (Garcinia mangostana L.) and a mangosteen containing functional beverage by HPLC–DAD–MSn","type":"article-journal","volume":"134"},"uris":["http://www.mendeley.com/documents/?uuid=09df7b6f-498b-4f1d-8e36-d4553512ce8f"]}],"mendeley":{"formattedCitation":"(Wittenauer et al., 2012)","plainTextFormattedCitation":"(Wittenauer et al., 2012)","previouslyFormattedCitation":"(Wittenauer et al., 2012)"},"properties":{"noteIndex":0},"schema":"https://github.com/citation-style-language/schema/raw/master/csl-citation.json"}</w:instrText>
      </w:r>
      <w:r w:rsidRPr="1FCAC7CA">
        <w:rPr>
          <w:rFonts w:ascii="Verdana" w:hAnsi="Verdana"/>
          <w:sz w:val="24"/>
          <w:szCs w:val="24"/>
        </w:rPr>
        <w:fldChar w:fldCharType="separate"/>
      </w:r>
      <w:r w:rsidRPr="1FCAC7CA" w:rsidR="00E514BB">
        <w:rPr>
          <w:rFonts w:ascii="Verdana" w:hAnsi="Verdana"/>
          <w:noProof/>
          <w:sz w:val="24"/>
          <w:szCs w:val="24"/>
        </w:rPr>
        <w:t>(</w:t>
      </w:r>
      <w:r w:rsidRPr="1FCAC7CA" w:rsidR="00E514BB">
        <w:rPr>
          <w:rFonts w:ascii="Verdana" w:hAnsi="Verdana"/>
          <w:noProof/>
          <w:sz w:val="24"/>
          <w:szCs w:val="24"/>
        </w:rPr>
        <w:t>Wittenauer</w:t>
      </w:r>
      <w:r w:rsidRPr="1FCAC7CA" w:rsidR="00E514BB">
        <w:rPr>
          <w:rFonts w:ascii="Verdana" w:hAnsi="Verdana"/>
          <w:noProof/>
          <w:sz w:val="24"/>
          <w:szCs w:val="24"/>
        </w:rPr>
        <w:t xml:space="preserve"> et al., 2012)</w:t>
      </w:r>
      <w:r w:rsidRPr="1FCAC7CA">
        <w:rPr>
          <w:rFonts w:ascii="Verdana" w:hAnsi="Verdana"/>
          <w:sz w:val="24"/>
          <w:szCs w:val="24"/>
        </w:rPr>
        <w:fldChar w:fldCharType="end"/>
      </w:r>
      <w:r w:rsidRPr="1FCAC7CA" w:rsidR="002F5D48">
        <w:rPr>
          <w:rFonts w:ascii="Verdana" w:hAnsi="Verdana"/>
          <w:sz w:val="24"/>
          <w:szCs w:val="24"/>
        </w:rPr>
        <w:t>. La coincidencia entre el ion</w:t>
      </w:r>
      <w:r w:rsidRPr="1FCAC7CA" w:rsidR="002F5D48">
        <w:rPr>
          <w:rFonts w:ascii="Verdana" w:hAnsi="Verdana"/>
          <w:sz w:val="24"/>
          <w:szCs w:val="24"/>
        </w:rPr>
        <w:t xml:space="preserve"> molecular y los fragmentos secundarios refuerza esta asignación </w:t>
      </w:r>
      <w:r w:rsidRPr="1FCAC7CA" w:rsidR="002F5D48">
        <w:rPr>
          <w:rFonts w:ascii="Verdana" w:hAnsi="Verdana"/>
          <w:sz w:val="24"/>
          <w:szCs w:val="24"/>
        </w:rPr>
        <w:t>tentantiva</w:t>
      </w:r>
      <w:r w:rsidRPr="1FCAC7CA" w:rsidR="002F5D48">
        <w:rPr>
          <w:rFonts w:ascii="Verdana" w:hAnsi="Verdana"/>
          <w:sz w:val="24"/>
          <w:szCs w:val="24"/>
        </w:rPr>
        <w:t>.</w:t>
      </w:r>
      <w:r w:rsidRPr="1FCAC7CA" w:rsidR="005439A9">
        <w:rPr>
          <w:rFonts w:ascii="Verdana" w:hAnsi="Verdana"/>
          <w:sz w:val="24"/>
          <w:szCs w:val="24"/>
        </w:rPr>
        <w:t xml:space="preserve"> </w:t>
      </w:r>
      <w:r w:rsidRPr="1FCAC7CA" w:rsidR="005439A9">
        <w:rPr>
          <w:rFonts w:ascii="Verdana" w:hAnsi="Verdana"/>
          <w:sz w:val="24"/>
          <w:szCs w:val="24"/>
        </w:rPr>
        <w:t>La presencia simultánea de antocianinas (cianidina-3-sophorósido) y </w:t>
      </w:r>
      <w:r w:rsidRPr="1FCAC7CA" w:rsidR="005439A9">
        <w:rPr>
          <w:rFonts w:ascii="Verdana" w:hAnsi="Verdana"/>
          <w:sz w:val="24"/>
          <w:szCs w:val="24"/>
        </w:rPr>
        <w:t>xantonas</w:t>
      </w:r>
      <w:r w:rsidRPr="1FCAC7CA" w:rsidR="005439A9">
        <w:rPr>
          <w:rFonts w:ascii="Verdana" w:hAnsi="Verdana"/>
          <w:sz w:val="24"/>
          <w:szCs w:val="24"/>
        </w:rPr>
        <w:t> (</w:t>
      </w:r>
      <w:r w:rsidRPr="1FCAC7CA" w:rsidR="005439A9">
        <w:rPr>
          <w:rFonts w:ascii="Verdana" w:hAnsi="Verdana"/>
          <w:sz w:val="24"/>
          <w:szCs w:val="24"/>
        </w:rPr>
        <w:t>garcinonas</w:t>
      </w:r>
      <w:r w:rsidRPr="1FCAC7CA" w:rsidR="005439A9">
        <w:rPr>
          <w:rFonts w:ascii="Verdana" w:hAnsi="Verdana"/>
          <w:sz w:val="24"/>
          <w:szCs w:val="24"/>
        </w:rPr>
        <w:t xml:space="preserve"> C y D) refleja la dualidad fitoquímica característica del mangostino: pigmentos responsables de la coloración intensa junto con metabolitos especializados con alto valor bioactivo. Si </w:t>
      </w:r>
      <w:r w:rsidRPr="1FCAC7CA" w:rsidR="005439A9">
        <w:rPr>
          <w:rFonts w:ascii="Verdana" w:hAnsi="Verdana"/>
          <w:sz w:val="24"/>
          <w:szCs w:val="24"/>
        </w:rPr>
        <w:t xml:space="preserve">bien las antocianinas aportan potencial como colorantes naturales, las </w:t>
      </w:r>
      <w:r w:rsidRPr="1FCAC7CA" w:rsidR="005439A9">
        <w:rPr>
          <w:rFonts w:ascii="Verdana" w:hAnsi="Verdana"/>
          <w:sz w:val="24"/>
          <w:szCs w:val="24"/>
        </w:rPr>
        <w:t>xantonas</w:t>
      </w:r>
      <w:r w:rsidRPr="1FCAC7CA" w:rsidR="005439A9">
        <w:rPr>
          <w:rFonts w:ascii="Verdana" w:hAnsi="Verdana"/>
          <w:sz w:val="24"/>
          <w:szCs w:val="24"/>
        </w:rPr>
        <w:t xml:space="preserve"> refuerzan el interés del extracto como fuente de compuestos nutracéuticos.</w:t>
      </w:r>
    </w:p>
    <w:p w:rsidR="00D6629B" w:rsidP="007A61C1" w:rsidRDefault="00E36FF6" w14:paraId="72D2E6E8" w14:textId="04D74895">
      <w:pPr>
        <w:rPr>
          <w:rFonts w:ascii="Verdana" w:hAnsi="Verdana"/>
          <w:b/>
          <w:bCs/>
          <w:sz w:val="24"/>
          <w:szCs w:val="24"/>
        </w:rPr>
      </w:pPr>
      <w:r w:rsidRPr="00E36FF6">
        <w:rPr>
          <w:rFonts w:ascii="Verdana" w:hAnsi="Verdana"/>
          <w:b/>
          <w:bCs/>
          <w:noProof/>
          <w:sz w:val="24"/>
          <w:szCs w:val="24"/>
        </w:rPr>
        <w:drawing>
          <wp:inline distT="0" distB="0" distL="0" distR="0" wp14:anchorId="52081E12" wp14:editId="5365F434">
            <wp:extent cx="6289358" cy="2978870"/>
            <wp:effectExtent l="0" t="0" r="0" b="0"/>
            <wp:docPr id="743973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73708" name=""/>
                    <pic:cNvPicPr/>
                  </pic:nvPicPr>
                  <pic:blipFill>
                    <a:blip r:embed="rId14"/>
                    <a:stretch>
                      <a:fillRect/>
                    </a:stretch>
                  </pic:blipFill>
                  <pic:spPr>
                    <a:xfrm>
                      <a:off x="0" y="0"/>
                      <a:ext cx="6295716" cy="2981882"/>
                    </a:xfrm>
                    <a:prstGeom prst="rect">
                      <a:avLst/>
                    </a:prstGeom>
                  </pic:spPr>
                </pic:pic>
              </a:graphicData>
            </a:graphic>
          </wp:inline>
        </w:drawing>
      </w:r>
    </w:p>
    <w:p w:rsidRPr="00F234B3" w:rsidR="00F234B3" w:rsidP="1FCAC7CA" w:rsidRDefault="00F234B3" w14:paraId="7ABCC387" w14:textId="25EBB3A3">
      <w:pPr>
        <w:jc w:val="both"/>
        <w:rPr>
          <w:rFonts w:ascii="Verdana" w:hAnsi="Verdana"/>
          <w:sz w:val="20"/>
          <w:szCs w:val="20"/>
        </w:rPr>
      </w:pPr>
      <w:r w:rsidRPr="1FCAC7CA" w:rsidR="00F234B3">
        <w:rPr>
          <w:rFonts w:ascii="Verdana" w:hAnsi="Verdana"/>
          <w:b w:val="1"/>
          <w:bCs w:val="1"/>
          <w:i w:val="1"/>
          <w:iCs w:val="1"/>
          <w:sz w:val="20"/>
          <w:szCs w:val="20"/>
        </w:rPr>
        <w:t xml:space="preserve">Figura </w:t>
      </w:r>
      <w:r w:rsidRPr="1FCAC7CA" w:rsidR="00F234B3">
        <w:rPr>
          <w:rFonts w:ascii="Verdana" w:hAnsi="Verdana"/>
          <w:b w:val="1"/>
          <w:bCs w:val="1"/>
          <w:i w:val="1"/>
          <w:iCs w:val="1"/>
          <w:sz w:val="20"/>
          <w:szCs w:val="20"/>
        </w:rPr>
        <w:t>4</w:t>
      </w:r>
      <w:r w:rsidRPr="1FCAC7CA" w:rsidR="00F234B3">
        <w:rPr>
          <w:rFonts w:ascii="Verdana" w:hAnsi="Verdana"/>
          <w:b w:val="1"/>
          <w:bCs w:val="1"/>
          <w:i w:val="1"/>
          <w:iCs w:val="1"/>
          <w:sz w:val="20"/>
          <w:szCs w:val="20"/>
        </w:rPr>
        <w:t>.</w:t>
      </w:r>
      <w:r w:rsidRPr="1FCAC7CA" w:rsidR="00F234B3">
        <w:rPr>
          <w:rFonts w:ascii="Verdana" w:hAnsi="Verdana"/>
          <w:i w:val="1"/>
          <w:iCs w:val="1"/>
          <w:sz w:val="20"/>
          <w:szCs w:val="20"/>
        </w:rPr>
        <w:t> </w:t>
      </w:r>
      <w:r w:rsidRPr="1FCAC7CA" w:rsidR="00F234B3">
        <w:rPr>
          <w:rFonts w:ascii="Verdana" w:hAnsi="Verdana"/>
          <w:sz w:val="20"/>
          <w:szCs w:val="20"/>
        </w:rPr>
        <w:t>Espectros de masas de compuestos anotados como </w:t>
      </w:r>
      <w:r w:rsidRPr="1FCAC7CA" w:rsidR="00F234B3">
        <w:rPr>
          <w:rFonts w:ascii="Verdana" w:hAnsi="Verdana"/>
          <w:sz w:val="20"/>
          <w:szCs w:val="20"/>
        </w:rPr>
        <w:t>garcinona</w:t>
      </w:r>
      <w:r w:rsidRPr="1FCAC7CA" w:rsidR="00F234B3">
        <w:rPr>
          <w:rFonts w:ascii="Verdana" w:hAnsi="Verdana"/>
          <w:sz w:val="20"/>
          <w:szCs w:val="20"/>
        </w:rPr>
        <w:t xml:space="preserve"> D ([M]</w:t>
      </w:r>
      <w:r w:rsidRPr="1FCAC7CA" w:rsidR="00F234B3">
        <w:rPr>
          <w:rFonts w:ascii="Verdana" w:hAnsi="Verdana"/>
          <w:sz w:val="20"/>
          <w:szCs w:val="20"/>
          <w:vertAlign w:val="superscript"/>
        </w:rPr>
        <w:t>+</w:t>
      </w:r>
      <w:r w:rsidRPr="1FCAC7CA" w:rsidR="00F234B3">
        <w:rPr>
          <w:rFonts w:ascii="Verdana" w:hAnsi="Verdana"/>
          <w:sz w:val="20"/>
          <w:szCs w:val="20"/>
        </w:rPr>
        <w:t xml:space="preserve"> m/z 427, fragmentos m/z 353 y 412) y </w:t>
      </w:r>
      <w:r w:rsidRPr="1FCAC7CA" w:rsidR="00F234B3">
        <w:rPr>
          <w:rFonts w:ascii="Verdana" w:hAnsi="Verdana"/>
          <w:sz w:val="20"/>
          <w:szCs w:val="20"/>
        </w:rPr>
        <w:t>garcinona</w:t>
      </w:r>
      <w:r w:rsidRPr="1FCAC7CA" w:rsidR="00F234B3">
        <w:rPr>
          <w:rFonts w:ascii="Verdana" w:hAnsi="Verdana"/>
          <w:sz w:val="20"/>
          <w:szCs w:val="20"/>
        </w:rPr>
        <w:t xml:space="preserve"> C ([M]</w:t>
      </w:r>
      <w:r w:rsidRPr="1FCAC7CA" w:rsidR="00F234B3">
        <w:rPr>
          <w:rFonts w:ascii="Verdana" w:hAnsi="Verdana"/>
          <w:sz w:val="20"/>
          <w:szCs w:val="20"/>
          <w:vertAlign w:val="superscript"/>
        </w:rPr>
        <w:t>+</w:t>
      </w:r>
      <w:r w:rsidRPr="1FCAC7CA" w:rsidR="00F234B3">
        <w:rPr>
          <w:rFonts w:ascii="Verdana" w:hAnsi="Verdana"/>
          <w:sz w:val="20"/>
          <w:szCs w:val="20"/>
        </w:rPr>
        <w:t xml:space="preserve"> m/z 413, fragmentos m/z 297 y 283), ambos pertenecientes a la familia de las </w:t>
      </w:r>
      <w:r w:rsidRPr="1FCAC7CA" w:rsidR="00F234B3">
        <w:rPr>
          <w:rFonts w:ascii="Verdana" w:hAnsi="Verdana"/>
          <w:sz w:val="20"/>
          <w:szCs w:val="20"/>
        </w:rPr>
        <w:t>xantonas</w:t>
      </w:r>
      <w:r w:rsidRPr="1FCAC7CA" w:rsidR="00F234B3">
        <w:rPr>
          <w:rFonts w:ascii="Verdana" w:hAnsi="Verdana"/>
          <w:sz w:val="20"/>
          <w:szCs w:val="20"/>
        </w:rPr>
        <w:t xml:space="preserve"> características del pericarpio de </w:t>
      </w:r>
      <w:r w:rsidRPr="1FCAC7CA" w:rsidR="00F234B3">
        <w:rPr>
          <w:rFonts w:ascii="Verdana" w:hAnsi="Verdana"/>
          <w:i w:val="1"/>
          <w:iCs w:val="1"/>
          <w:sz w:val="20"/>
          <w:szCs w:val="20"/>
        </w:rPr>
        <w:t>Garcinia</w:t>
      </w:r>
      <w:r w:rsidRPr="1FCAC7CA" w:rsidR="00F234B3">
        <w:rPr>
          <w:rFonts w:ascii="Verdana" w:hAnsi="Verdana"/>
          <w:i w:val="1"/>
          <w:iCs w:val="1"/>
          <w:sz w:val="20"/>
          <w:szCs w:val="20"/>
        </w:rPr>
        <w:t xml:space="preserve"> </w:t>
      </w:r>
      <w:r w:rsidRPr="1FCAC7CA" w:rsidR="00F234B3">
        <w:rPr>
          <w:rFonts w:ascii="Verdana" w:hAnsi="Verdana"/>
          <w:i w:val="1"/>
          <w:iCs w:val="1"/>
          <w:sz w:val="20"/>
          <w:szCs w:val="20"/>
        </w:rPr>
        <w:t>mangostana</w:t>
      </w:r>
      <w:r w:rsidRPr="1FCAC7CA" w:rsidR="00F234B3">
        <w:rPr>
          <w:rFonts w:ascii="Verdana" w:hAnsi="Verdana"/>
          <w:sz w:val="20"/>
          <w:szCs w:val="20"/>
        </w:rPr>
        <w:t>.</w:t>
      </w:r>
    </w:p>
    <w:p w:rsidRPr="008D3168" w:rsidR="00A37AA7" w:rsidP="008D3168" w:rsidRDefault="008D3168" w14:paraId="6BB645A5" w14:textId="73C38A3D">
      <w:pPr>
        <w:jc w:val="both"/>
        <w:rPr>
          <w:rFonts w:ascii="Verdana" w:hAnsi="Verdana"/>
          <w:sz w:val="24"/>
          <w:szCs w:val="24"/>
          <w:lang w:val="es-ES"/>
        </w:rPr>
      </w:pPr>
      <w:r w:rsidRPr="008D3168">
        <w:rPr>
          <w:rFonts w:ascii="Verdana" w:hAnsi="Verdana"/>
          <w:sz w:val="24"/>
          <w:szCs w:val="24"/>
        </w:rPr>
        <w:t>Los espectros UPLC–MS/MS obtenidos sugieren que el extracto etanol/ácido cítrico pH 3,5 (20 kHz) del pericarpio de mangostino contiene cianidina-3-sophorósido como antocianina predominante y </w:t>
      </w:r>
      <w:proofErr w:type="spellStart"/>
      <w:r w:rsidRPr="008D3168">
        <w:rPr>
          <w:rFonts w:ascii="Verdana" w:hAnsi="Verdana"/>
          <w:sz w:val="24"/>
          <w:szCs w:val="24"/>
        </w:rPr>
        <w:t>garcinonas</w:t>
      </w:r>
      <w:proofErr w:type="spellEnd"/>
      <w:r w:rsidRPr="008D3168">
        <w:rPr>
          <w:rFonts w:ascii="Verdana" w:hAnsi="Verdana"/>
          <w:sz w:val="24"/>
          <w:szCs w:val="24"/>
        </w:rPr>
        <w:t xml:space="preserve"> C y D como </w:t>
      </w:r>
      <w:proofErr w:type="spellStart"/>
      <w:r w:rsidRPr="008D3168">
        <w:rPr>
          <w:rFonts w:ascii="Verdana" w:hAnsi="Verdana"/>
          <w:sz w:val="24"/>
          <w:szCs w:val="24"/>
        </w:rPr>
        <w:t>xantonas</w:t>
      </w:r>
      <w:proofErr w:type="spellEnd"/>
      <w:r w:rsidRPr="008D3168">
        <w:rPr>
          <w:rFonts w:ascii="Verdana" w:hAnsi="Verdana"/>
          <w:sz w:val="24"/>
          <w:szCs w:val="24"/>
        </w:rPr>
        <w:t xml:space="preserve"> relevantes. Esta composición preliminar refuerza el valor del pericarpio como fuente de compuestos fenólicos con aplicaciones duales: pigmentos naturales para la industria alimentaria y metabolitos con potencial nutracéutico</w:t>
      </w:r>
    </w:p>
    <w:p w:rsidR="00A37AA7" w:rsidP="007A61C1" w:rsidRDefault="00A37AA7" w14:paraId="2EF481AD" w14:textId="77777777">
      <w:pPr>
        <w:rPr>
          <w:rFonts w:ascii="Verdana" w:hAnsi="Verdana"/>
          <w:b/>
          <w:bCs/>
          <w:sz w:val="24"/>
          <w:szCs w:val="24"/>
          <w:lang w:val="es-ES"/>
        </w:rPr>
      </w:pPr>
    </w:p>
    <w:p w:rsidRPr="00E71CFF" w:rsidR="00E71CFF" w:rsidP="007A61C1" w:rsidRDefault="00E71CFF" w14:paraId="700D2E6E" w14:textId="24B39632">
      <w:pPr>
        <w:rPr>
          <w:rFonts w:ascii="Verdana" w:hAnsi="Verdana"/>
          <w:b/>
          <w:sz w:val="24"/>
          <w:szCs w:val="24"/>
        </w:rPr>
      </w:pPr>
      <w:r w:rsidRPr="00E71CFF">
        <w:rPr>
          <w:rFonts w:ascii="Verdana" w:hAnsi="Verdana"/>
          <w:b/>
          <w:sz w:val="24"/>
          <w:szCs w:val="24"/>
        </w:rPr>
        <w:t>CONCLUSIONES.</w:t>
      </w:r>
    </w:p>
    <w:p w:rsidRPr="00FE780A" w:rsidR="00E71CFF" w:rsidP="00FE780A" w:rsidRDefault="00FE780A" w14:paraId="44BB2C9E" w14:textId="184555F1">
      <w:pPr>
        <w:jc w:val="both"/>
        <w:rPr>
          <w:rFonts w:ascii="Verdana" w:hAnsi="Verdana"/>
          <w:sz w:val="24"/>
          <w:szCs w:val="24"/>
        </w:rPr>
      </w:pPr>
      <w:r w:rsidRPr="3CEB8552">
        <w:rPr>
          <w:rFonts w:ascii="Verdana" w:hAnsi="Verdana"/>
          <w:sz w:val="24"/>
          <w:szCs w:val="24"/>
        </w:rPr>
        <w:t>El pericarpio de mangostino (</w:t>
      </w:r>
      <w:proofErr w:type="spellStart"/>
      <w:r w:rsidRPr="3CEB8552">
        <w:rPr>
          <w:rFonts w:ascii="Verdana" w:hAnsi="Verdana"/>
          <w:i/>
          <w:iCs/>
          <w:sz w:val="24"/>
          <w:szCs w:val="24"/>
        </w:rPr>
        <w:t>Garcinia</w:t>
      </w:r>
      <w:proofErr w:type="spellEnd"/>
      <w:r w:rsidRPr="3CEB8552">
        <w:rPr>
          <w:rFonts w:ascii="Verdana" w:hAnsi="Verdana"/>
          <w:i/>
          <w:iCs/>
          <w:sz w:val="24"/>
          <w:szCs w:val="24"/>
        </w:rPr>
        <w:t xml:space="preserve"> </w:t>
      </w:r>
      <w:proofErr w:type="spellStart"/>
      <w:r w:rsidRPr="3CEB8552">
        <w:rPr>
          <w:rFonts w:ascii="Verdana" w:hAnsi="Verdana"/>
          <w:i/>
          <w:iCs/>
          <w:sz w:val="24"/>
          <w:szCs w:val="24"/>
        </w:rPr>
        <w:t>mangostana</w:t>
      </w:r>
      <w:proofErr w:type="spellEnd"/>
      <w:r w:rsidRPr="3CEB8552">
        <w:rPr>
          <w:rFonts w:ascii="Verdana" w:hAnsi="Verdana"/>
          <w:sz w:val="24"/>
          <w:szCs w:val="24"/>
        </w:rPr>
        <w:t xml:space="preserve">) es una fuente importante de compuestos fenólicos, principalmente de antocianinas, </w:t>
      </w:r>
      <w:r w:rsidRPr="3CEB8552" w:rsidR="1767D882">
        <w:rPr>
          <w:rFonts w:ascii="Verdana" w:hAnsi="Verdana"/>
          <w:sz w:val="24"/>
          <w:szCs w:val="24"/>
        </w:rPr>
        <w:t>que,</w:t>
      </w:r>
      <w:r w:rsidRPr="3CEB8552">
        <w:rPr>
          <w:rFonts w:ascii="Verdana" w:hAnsi="Verdana"/>
          <w:sz w:val="24"/>
          <w:szCs w:val="24"/>
        </w:rPr>
        <w:t xml:space="preserve"> al usar solventes ácidos como el Ácido cítrico, presentan un mayor contenido de las mismas y mayor estabilidad en ambientes con un pH inferior a 3,0, debido a la alta concentración de iones H</w:t>
      </w:r>
      <w:r w:rsidRPr="3CEB8552">
        <w:rPr>
          <w:rFonts w:ascii="Verdana" w:hAnsi="Verdana"/>
          <w:sz w:val="24"/>
          <w:szCs w:val="24"/>
          <w:vertAlign w:val="superscript"/>
        </w:rPr>
        <w:t>+</w:t>
      </w:r>
      <w:r w:rsidRPr="3CEB8552">
        <w:rPr>
          <w:rFonts w:ascii="Verdana" w:hAnsi="Verdana"/>
          <w:sz w:val="24"/>
          <w:szCs w:val="24"/>
        </w:rPr>
        <w:t xml:space="preserve">, lo cual se evidencia en la coloración roja de los extractos. Adicionalmente, </w:t>
      </w:r>
      <w:r w:rsidRPr="3CEB8552" w:rsidR="00425C2F">
        <w:rPr>
          <w:rFonts w:ascii="Verdana" w:hAnsi="Verdana"/>
          <w:sz w:val="24"/>
          <w:szCs w:val="24"/>
        </w:rPr>
        <w:t xml:space="preserve">el solvente influye en la extracción de compuestos fenólicos totales, siendo </w:t>
      </w:r>
      <w:r w:rsidRPr="3CEB8552" w:rsidR="00425C2F">
        <w:rPr>
          <w:rFonts w:ascii="Verdana" w:hAnsi="Verdana"/>
          <w:sz w:val="24"/>
          <w:szCs w:val="24"/>
        </w:rPr>
        <w:lastRenderedPageBreak/>
        <w:t>que el Etanol – A. cítrico (pH 3.5) presenta el mayor contenido, pero no se ve influenciado por la frecuencia del tratamiento por ultrasonido</w:t>
      </w:r>
      <w:r w:rsidRPr="007F2D0F" w:rsidR="00425C2F">
        <w:rPr>
          <w:rFonts w:ascii="Verdana" w:hAnsi="Verdana"/>
          <w:sz w:val="24"/>
          <w:szCs w:val="24"/>
        </w:rPr>
        <w:t xml:space="preserve">. </w:t>
      </w:r>
      <w:r w:rsidRPr="007F2D0F" w:rsidR="007F2D0F">
        <w:rPr>
          <w:rFonts w:ascii="Verdana" w:hAnsi="Verdana"/>
          <w:sz w:val="24"/>
          <w:szCs w:val="24"/>
        </w:rPr>
        <w:t xml:space="preserve">Los resultados preliminares de UPLC-MS/MS confirman la presencia de antocianinas y </w:t>
      </w:r>
      <w:proofErr w:type="spellStart"/>
      <w:r w:rsidRPr="007F2D0F" w:rsidR="007F2D0F">
        <w:rPr>
          <w:rFonts w:ascii="Verdana" w:hAnsi="Verdana"/>
          <w:sz w:val="24"/>
          <w:szCs w:val="24"/>
        </w:rPr>
        <w:t>xantonas</w:t>
      </w:r>
      <w:proofErr w:type="spellEnd"/>
      <w:r w:rsidRPr="007F2D0F" w:rsidR="007F2D0F">
        <w:rPr>
          <w:rFonts w:ascii="Verdana" w:hAnsi="Verdana"/>
          <w:sz w:val="24"/>
          <w:szCs w:val="24"/>
        </w:rPr>
        <w:t xml:space="preserve"> en el extracto de pericarpio de mangostino, lo que respalda su potencial como fuente dual de pigmentos naturales y metabolitos bioactivos con aplicaciones nutracéuticas</w:t>
      </w:r>
    </w:p>
    <w:p w:rsidR="00E71CFF" w:rsidP="007A61C1" w:rsidRDefault="00E71CFF" w14:paraId="5BAB9093" w14:textId="77777777">
      <w:pPr>
        <w:rPr>
          <w:rFonts w:ascii="Verdana" w:hAnsi="Verdana"/>
          <w:sz w:val="24"/>
          <w:szCs w:val="24"/>
        </w:rPr>
      </w:pPr>
    </w:p>
    <w:p w:rsidR="007A61C1" w:rsidP="007A61C1" w:rsidRDefault="00DD0170" w14:paraId="5FD635CF" w14:textId="77777777">
      <w:pPr>
        <w:rPr>
          <w:rFonts w:ascii="Verdana" w:hAnsi="Verdana"/>
          <w:b/>
          <w:sz w:val="24"/>
          <w:szCs w:val="24"/>
        </w:rPr>
      </w:pPr>
      <w:r w:rsidRPr="00800C23">
        <w:rPr>
          <w:rFonts w:ascii="Verdana" w:hAnsi="Verdana"/>
          <w:b/>
          <w:sz w:val="24"/>
          <w:szCs w:val="24"/>
        </w:rPr>
        <w:t>BIBLIOGRAFÍA.</w:t>
      </w:r>
    </w:p>
    <w:p w:rsidRPr="00E514BB" w:rsidR="00E514BB" w:rsidP="00E514BB" w:rsidRDefault="00425C2F" w14:paraId="2F7C22A8" w14:textId="722F1294">
      <w:pPr>
        <w:widowControl w:val="0"/>
        <w:autoSpaceDE w:val="0"/>
        <w:autoSpaceDN w:val="0"/>
        <w:adjustRightInd w:val="0"/>
        <w:spacing w:line="240" w:lineRule="auto"/>
        <w:ind w:left="480" w:hanging="480"/>
        <w:rPr>
          <w:rFonts w:ascii="Verdana" w:hAnsi="Verdana" w:cs="Times New Roman"/>
          <w:noProof/>
          <w:sz w:val="24"/>
          <w:lang w:val="es-ES_tradnl"/>
        </w:rPr>
      </w:pPr>
      <w:r>
        <w:rPr>
          <w:rFonts w:ascii="Verdana" w:hAnsi="Verdana"/>
          <w:sz w:val="24"/>
          <w:szCs w:val="24"/>
        </w:rPr>
        <w:fldChar w:fldCharType="begin" w:fldLock="1"/>
      </w:r>
      <w:r>
        <w:rPr>
          <w:rFonts w:ascii="Verdana" w:hAnsi="Verdana"/>
          <w:sz w:val="24"/>
          <w:szCs w:val="24"/>
        </w:rPr>
        <w:instrText xml:space="preserve">ADDIN Mendeley Bibliography CSL_BIBLIOGRAPHY </w:instrText>
      </w:r>
      <w:r>
        <w:rPr>
          <w:rFonts w:ascii="Verdana" w:hAnsi="Verdana"/>
          <w:sz w:val="24"/>
          <w:szCs w:val="24"/>
        </w:rPr>
        <w:fldChar w:fldCharType="separate"/>
      </w:r>
      <w:r w:rsidRPr="00E514BB" w:rsidR="00E514BB">
        <w:rPr>
          <w:rFonts w:ascii="Verdana" w:hAnsi="Verdana" w:cs="Times New Roman"/>
          <w:noProof/>
          <w:sz w:val="24"/>
          <w:lang w:val="es-ES_tradnl"/>
        </w:rPr>
        <w:t xml:space="preserve">Ahmad Izuren Shah, N. S., Abu Bakar, M. R., Taher, M., Danial, W. H., Adam, F., &amp; Abdul Rahim, S. (2025). Occurrence analysis of alpha-mangostin from different organs of </w:t>
      </w:r>
      <w:r w:rsidRPr="00E514BB" w:rsidR="00E514BB">
        <w:rPr>
          <w:rFonts w:ascii="Verdana" w:hAnsi="Verdana" w:cs="Times New Roman"/>
          <w:i/>
          <w:iCs/>
          <w:noProof/>
          <w:sz w:val="24"/>
          <w:lang w:val="es-ES_tradnl"/>
        </w:rPr>
        <w:t>Garcinia mangostana</w:t>
      </w:r>
      <w:r w:rsidRPr="00E514BB" w:rsidR="00E514BB">
        <w:rPr>
          <w:rFonts w:ascii="Verdana" w:hAnsi="Verdana" w:cs="Times New Roman"/>
          <w:noProof/>
          <w:sz w:val="24"/>
          <w:lang w:val="es-ES_tradnl"/>
        </w:rPr>
        <w:t xml:space="preserve"> L. </w:t>
      </w:r>
      <w:r w:rsidRPr="00E514BB" w:rsidR="00E514BB">
        <w:rPr>
          <w:rFonts w:ascii="Verdana" w:hAnsi="Verdana" w:cs="Times New Roman"/>
          <w:i/>
          <w:iCs/>
          <w:noProof/>
          <w:sz w:val="24"/>
          <w:lang w:val="es-ES_tradnl"/>
        </w:rPr>
        <w:t>Natural Product Research</w:t>
      </w:r>
      <w:r w:rsidRPr="00E514BB" w:rsidR="00E514BB">
        <w:rPr>
          <w:rFonts w:ascii="Verdana" w:hAnsi="Verdana" w:cs="Times New Roman"/>
          <w:noProof/>
          <w:sz w:val="24"/>
          <w:lang w:val="es-ES_tradnl"/>
        </w:rPr>
        <w:t>, 1–5. https://doi.org/10.1080/14786419.2024.2449493</w:t>
      </w:r>
    </w:p>
    <w:p w:rsidRPr="00E514BB" w:rsidR="00E514BB" w:rsidP="00E514BB" w:rsidRDefault="00E514BB" w14:paraId="484A6358"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Ahmed, I. A., Zamakshshari, N. H., Mikail, M. A., Bello, I., &amp; Hossain, M. S. (2025). Garcinia flavonoids for healthy aging: Anti-senescence mechanisms and cosmeceutical applications in skin care. </w:t>
      </w:r>
      <w:r w:rsidRPr="00E514BB">
        <w:rPr>
          <w:rFonts w:ascii="Verdana" w:hAnsi="Verdana" w:cs="Times New Roman"/>
          <w:i/>
          <w:iCs/>
          <w:noProof/>
          <w:sz w:val="24"/>
          <w:lang w:val="es-ES_tradnl"/>
        </w:rPr>
        <w:t>Fitoterapia</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180</w:t>
      </w:r>
      <w:r w:rsidRPr="00E514BB">
        <w:rPr>
          <w:rFonts w:ascii="Verdana" w:hAnsi="Verdana" w:cs="Times New Roman"/>
          <w:noProof/>
          <w:sz w:val="24"/>
          <w:lang w:val="es-ES_tradnl"/>
        </w:rPr>
        <w:t>, 106282. https://doi.org/10.1016/j.fitote.2024.106282</w:t>
      </w:r>
    </w:p>
    <w:p w:rsidRPr="00E514BB" w:rsidR="00E514BB" w:rsidP="00E514BB" w:rsidRDefault="00E514BB" w14:paraId="68D1F86A"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Aissat, A. K., Chaher-Bazizi, N., Richard, T., Kilani-Atmani, D., Pedrot, E., Renouf, E., … Valls Fonayet, J. (2022). Analysis of individual anthocyanins, flavanols, flavonols and other polyphenols in Pistacia lentiscus L. fruits during ripening. </w:t>
      </w:r>
      <w:r w:rsidRPr="00E514BB">
        <w:rPr>
          <w:rFonts w:ascii="Verdana" w:hAnsi="Verdana" w:cs="Times New Roman"/>
          <w:i/>
          <w:iCs/>
          <w:noProof/>
          <w:sz w:val="24"/>
          <w:lang w:val="es-ES_tradnl"/>
        </w:rPr>
        <w:t>Journal of Food Composition and Analysis</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106</w:t>
      </w:r>
      <w:r w:rsidRPr="00E514BB">
        <w:rPr>
          <w:rFonts w:ascii="Verdana" w:hAnsi="Verdana" w:cs="Times New Roman"/>
          <w:noProof/>
          <w:sz w:val="24"/>
          <w:lang w:val="es-ES_tradnl"/>
        </w:rPr>
        <w:t>. https://doi.org/10.1016/j.jfca.2021.104286</w:t>
      </w:r>
    </w:p>
    <w:p w:rsidRPr="00E514BB" w:rsidR="00E514BB" w:rsidP="00E514BB" w:rsidRDefault="00E514BB" w14:paraId="5A33E55B"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Bansod, S. P., Parikh, J. K., &amp; Sarangi, P. K. (2023). Pineapple peel waste valorization for extraction of bio-active compounds and protein: Microwave assisted method and Box Behnken design optimization. </w:t>
      </w:r>
      <w:r w:rsidRPr="00E514BB">
        <w:rPr>
          <w:rFonts w:ascii="Verdana" w:hAnsi="Verdana" w:cs="Times New Roman"/>
          <w:i/>
          <w:iCs/>
          <w:noProof/>
          <w:sz w:val="24"/>
          <w:lang w:val="es-ES_tradnl"/>
        </w:rPr>
        <w:t>Environmental Research</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221</w:t>
      </w:r>
      <w:r w:rsidRPr="00E514BB">
        <w:rPr>
          <w:rFonts w:ascii="Verdana" w:hAnsi="Verdana" w:cs="Times New Roman"/>
          <w:noProof/>
          <w:sz w:val="24"/>
          <w:lang w:val="es-ES_tradnl"/>
        </w:rPr>
        <w:t>, 115237. https://doi.org/10.1016/j.envres.2023.115237</w:t>
      </w:r>
    </w:p>
    <w:p w:rsidRPr="00E514BB" w:rsidR="00E514BB" w:rsidP="00E514BB" w:rsidRDefault="00E514BB" w14:paraId="13F2AEA6"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Capello, C., Leandro, G. C., Maduro Campos, C. E., Hotza, D., Mattar Carciofi, B. A., &amp; Valencia, G. A. (2019). Adsorption and desorption of eggplant peel anthocyanins on a synthetic layered silicate. </w:t>
      </w:r>
      <w:r w:rsidRPr="00E514BB">
        <w:rPr>
          <w:rFonts w:ascii="Verdana" w:hAnsi="Verdana" w:cs="Times New Roman"/>
          <w:i/>
          <w:iCs/>
          <w:noProof/>
          <w:sz w:val="24"/>
          <w:lang w:val="es-ES_tradnl"/>
        </w:rPr>
        <w:t>Journal of Food Engineering</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262</w:t>
      </w:r>
      <w:r w:rsidRPr="00E514BB">
        <w:rPr>
          <w:rFonts w:ascii="Verdana" w:hAnsi="Verdana" w:cs="Times New Roman"/>
          <w:noProof/>
          <w:sz w:val="24"/>
          <w:lang w:val="es-ES_tradnl"/>
        </w:rPr>
        <w:t>, 162–169. https://doi.org/10.1016/j.jfoodeng.2019.06.010</w:t>
      </w:r>
    </w:p>
    <w:p w:rsidRPr="00E514BB" w:rsidR="00E514BB" w:rsidP="00E514BB" w:rsidRDefault="00E514BB" w14:paraId="6022E0EE"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Cavanholi, M. G., Wanderley, B. R. da S. M., Bredun, M. A., Louredo, F. J. C., dos Santos, A. C., Costa, A. C. O., … Fritzen-Freire, C. B. (2025). How do pH reduction and the addition of potassium metabisulfite impact colour and the phenolic and anthocyanin profiles in red araçá (Psidium cattleianum Sabine) wine? </w:t>
      </w:r>
      <w:r w:rsidRPr="00E514BB">
        <w:rPr>
          <w:rFonts w:ascii="Verdana" w:hAnsi="Verdana" w:cs="Times New Roman"/>
          <w:i/>
          <w:iCs/>
          <w:noProof/>
          <w:sz w:val="24"/>
          <w:lang w:val="es-ES_tradnl"/>
        </w:rPr>
        <w:t>South African Journal of Botany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177</w:t>
      </w:r>
      <w:r w:rsidRPr="00E514BB">
        <w:rPr>
          <w:rFonts w:ascii="Verdana" w:hAnsi="Verdana" w:cs="Times New Roman"/>
          <w:noProof/>
          <w:sz w:val="24"/>
          <w:lang w:val="es-ES_tradnl"/>
        </w:rPr>
        <w:t>, 251–263. https://doi.org/10.1016/j.sajb.2024.12.005</w:t>
      </w:r>
    </w:p>
    <w:p w:rsidRPr="00E514BB" w:rsidR="00E514BB" w:rsidP="00E514BB" w:rsidRDefault="00E514BB" w14:paraId="351C075E"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lastRenderedPageBreak/>
        <w:t xml:space="preserve">Chaivisuthangkura, A., Malaikaew, Y., Chaovanalikit, A., Jaratrungtawee, A., Panseeta, P., Ratananukul, P., &amp; Suksamrarn, S. (2009). Prenylated Xanthone Composition of Garcinia mangostana (Mangosteen) Fruit Hull. </w:t>
      </w:r>
      <w:r w:rsidRPr="00E514BB">
        <w:rPr>
          <w:rFonts w:ascii="Verdana" w:hAnsi="Verdana" w:cs="Times New Roman"/>
          <w:i/>
          <w:iCs/>
          <w:noProof/>
          <w:sz w:val="24"/>
          <w:lang w:val="es-ES_tradnl"/>
        </w:rPr>
        <w:t>Chromatographia</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69</w:t>
      </w:r>
      <w:r w:rsidRPr="00E514BB">
        <w:rPr>
          <w:rFonts w:ascii="Verdana" w:hAnsi="Verdana" w:cs="Times New Roman"/>
          <w:noProof/>
          <w:sz w:val="24"/>
          <w:lang w:val="es-ES_tradnl"/>
        </w:rPr>
        <w:t>(3–4), 315–318. https://doi.org/10.1365/s10337-008-0890-1</w:t>
      </w:r>
    </w:p>
    <w:p w:rsidRPr="00E514BB" w:rsidR="00E514BB" w:rsidP="00E514BB" w:rsidRDefault="00E514BB" w14:paraId="0F537320"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de Souza Ribeiro, M. M., Viganó, J., de Novais, N. S., de Souza Mesquita, L. M., Kamikawachi, R. C., Vilegas, W., … Veggi, P. C. (2023). The effect of ultrasound on improving the extraction of tannins from the Stryphnodendron adstringens bark. </w:t>
      </w:r>
      <w:r w:rsidRPr="00E514BB">
        <w:rPr>
          <w:rFonts w:ascii="Verdana" w:hAnsi="Verdana" w:cs="Times New Roman"/>
          <w:i/>
          <w:iCs/>
          <w:noProof/>
          <w:sz w:val="24"/>
          <w:lang w:val="es-ES_tradnl"/>
        </w:rPr>
        <w:t>Sustainable Chemistry and Pharmacy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33</w:t>
      </w:r>
      <w:r w:rsidRPr="00E514BB">
        <w:rPr>
          <w:rFonts w:ascii="Verdana" w:hAnsi="Verdana" w:cs="Times New Roman"/>
          <w:noProof/>
          <w:sz w:val="24"/>
          <w:lang w:val="es-ES_tradnl"/>
        </w:rPr>
        <w:t>, 101044. https://doi.org/10.1016/j.scp.2023.101044</w:t>
      </w:r>
    </w:p>
    <w:p w:rsidRPr="00E514BB" w:rsidR="00E514BB" w:rsidP="00E514BB" w:rsidRDefault="00E514BB" w14:paraId="0F743B2A"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El Gaafary, M., Abdel-Baki, P. M., El-Halawany, A. M., Mohamed, H. M., Duweb, A., Abdallah, H. M., … Syrovets, T. (2024). Prenylated xanthones from mangosteen (Garcinia mangostana) target oxidative mitochondrial respiration in cancer cells. </w:t>
      </w:r>
      <w:r w:rsidRPr="00E514BB">
        <w:rPr>
          <w:rFonts w:ascii="Verdana" w:hAnsi="Verdana" w:cs="Times New Roman"/>
          <w:i/>
          <w:iCs/>
          <w:noProof/>
          <w:sz w:val="24"/>
          <w:lang w:val="es-ES_tradnl"/>
        </w:rPr>
        <w:t>Biomedicine &amp; Pharmacotherapy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179</w:t>
      </w:r>
      <w:r w:rsidRPr="00E514BB">
        <w:rPr>
          <w:rFonts w:ascii="Verdana" w:hAnsi="Verdana" w:cs="Times New Roman"/>
          <w:noProof/>
          <w:sz w:val="24"/>
          <w:lang w:val="es-ES_tradnl"/>
        </w:rPr>
        <w:t>, 117365. https://doi.org/10.1016/j.biopha.2024.117365</w:t>
      </w:r>
    </w:p>
    <w:p w:rsidRPr="00E514BB" w:rsidR="00E514BB" w:rsidP="00E514BB" w:rsidRDefault="00E514BB" w14:paraId="790E77FF"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García, M. L., Carrión, M. H., Escobar, S., Rodríguez, A., &amp; Cortina, J. R. (2021). Optimization of the antioxidant capacity of mangosteen peels (Garcinia mangostana L.) extracts: Management of the drying extraction processes. </w:t>
      </w:r>
      <w:r w:rsidRPr="00E514BB">
        <w:rPr>
          <w:rFonts w:ascii="Verdana" w:hAnsi="Verdana" w:cs="Times New Roman"/>
          <w:i/>
          <w:iCs/>
          <w:noProof/>
          <w:sz w:val="24"/>
          <w:lang w:val="es-ES_tradnl"/>
        </w:rPr>
        <w:t>Food Science and Technology International</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27</w:t>
      </w:r>
      <w:r w:rsidRPr="00E514BB">
        <w:rPr>
          <w:rFonts w:ascii="Verdana" w:hAnsi="Verdana" w:cs="Times New Roman"/>
          <w:noProof/>
          <w:sz w:val="24"/>
          <w:lang w:val="es-ES_tradnl"/>
        </w:rPr>
        <w:t>(5), 404–412. https://doi.org/10.1177/1082013220962630</w:t>
      </w:r>
    </w:p>
    <w:p w:rsidRPr="00E514BB" w:rsidR="00E514BB" w:rsidP="00E514BB" w:rsidRDefault="00E514BB" w14:paraId="3B1E6540"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Hammood, N. H., Kadhim, F. A., Al-Gufaili, M. K., Azooz, E. A., &amp; Snigur, D. (2024). A Comparative Review of Solidified Floating Organic Drop Microextraction Methods for Metal Separation: recent Developments, Enhanced co-Factors, Challenges, and Environmental Assessment. </w:t>
      </w:r>
      <w:r w:rsidRPr="00E514BB">
        <w:rPr>
          <w:rFonts w:ascii="Verdana" w:hAnsi="Verdana" w:cs="Times New Roman"/>
          <w:i/>
          <w:iCs/>
          <w:noProof/>
          <w:sz w:val="24"/>
          <w:lang w:val="es-ES_tradnl"/>
        </w:rPr>
        <w:t>Critical Reviews in Analytical Chemistry</w:t>
      </w:r>
      <w:r w:rsidRPr="00E514BB">
        <w:rPr>
          <w:rFonts w:ascii="Verdana" w:hAnsi="Verdana" w:cs="Times New Roman"/>
          <w:noProof/>
          <w:sz w:val="24"/>
          <w:lang w:val="es-ES_tradnl"/>
        </w:rPr>
        <w:t>, 1–14. https://doi.org/10.1080/10408347.2024.2366939</w:t>
      </w:r>
    </w:p>
    <w:p w:rsidRPr="00E514BB" w:rsidR="00E514BB" w:rsidP="00E514BB" w:rsidRDefault="00E514BB" w14:paraId="181F2C95"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Hou, M., Zhou, Y., Lin, C., Shi, J., Hou, H., Ma, Y., … Bian, Z. (2025). Green valorization of Chaenomelis Fructus agro-industrial by-products as a source of phenolics: Ultrasound-assisted extraction, adsorptive enrichment and quality control. </w:t>
      </w:r>
      <w:r w:rsidRPr="00E514BB">
        <w:rPr>
          <w:rFonts w:ascii="Verdana" w:hAnsi="Verdana" w:cs="Times New Roman"/>
          <w:i/>
          <w:iCs/>
          <w:noProof/>
          <w:sz w:val="24"/>
          <w:lang w:val="es-ES_tradnl"/>
        </w:rPr>
        <w:t>Food Chemistry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472</w:t>
      </w:r>
      <w:r w:rsidRPr="00E514BB">
        <w:rPr>
          <w:rFonts w:ascii="Verdana" w:hAnsi="Verdana" w:cs="Times New Roman"/>
          <w:noProof/>
          <w:sz w:val="24"/>
          <w:lang w:val="es-ES_tradnl"/>
        </w:rPr>
        <w:t>, 142908. https://doi.org/10.1016/j.foodchem.2025.142908</w:t>
      </w:r>
    </w:p>
    <w:p w:rsidRPr="00E514BB" w:rsidR="00E514BB" w:rsidP="00E514BB" w:rsidRDefault="00E514BB" w14:paraId="7EFE0BEB"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Huang, H., Guo, S., Xu, Y., Ettoumi, F., Fang, J., Yan, X., … Cheng, K. (2024). Valorization and protection of anthocyanins from strawberries (Fragaria×ananassa Duch.) by acidified natural deep eutectic solvent based on intermolecular interaction. </w:t>
      </w:r>
      <w:r w:rsidRPr="00E514BB">
        <w:rPr>
          <w:rFonts w:ascii="Verdana" w:hAnsi="Verdana" w:cs="Times New Roman"/>
          <w:i/>
          <w:iCs/>
          <w:noProof/>
          <w:sz w:val="24"/>
          <w:lang w:val="es-ES_tradnl"/>
        </w:rPr>
        <w:t>Food Chemistry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447</w:t>
      </w:r>
      <w:r w:rsidRPr="00E514BB">
        <w:rPr>
          <w:rFonts w:ascii="Verdana" w:hAnsi="Verdana" w:cs="Times New Roman"/>
          <w:noProof/>
          <w:sz w:val="24"/>
          <w:lang w:val="es-ES_tradnl"/>
        </w:rPr>
        <w:t>, 138971. https://doi.org/10.1016/j.foodchem.2024.138971</w:t>
      </w:r>
    </w:p>
    <w:p w:rsidRPr="00E514BB" w:rsidR="00E514BB" w:rsidP="00E514BB" w:rsidRDefault="00E514BB" w14:paraId="731C349F"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Jain, S., &amp; Mehata, M. S. (2017). Medicinal Plant Leaf Extract and Pure Flavonoid Mediated Green Synthesis of Silver Nanoparticles and their Enhanced Antibacterial Property. </w:t>
      </w:r>
      <w:r w:rsidRPr="00E514BB">
        <w:rPr>
          <w:rFonts w:ascii="Verdana" w:hAnsi="Verdana" w:cs="Times New Roman"/>
          <w:i/>
          <w:iCs/>
          <w:noProof/>
          <w:sz w:val="24"/>
          <w:lang w:val="es-ES_tradnl"/>
        </w:rPr>
        <w:t>Scientific Reports</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7</w:t>
      </w:r>
      <w:r w:rsidRPr="00E514BB">
        <w:rPr>
          <w:rFonts w:ascii="Verdana" w:hAnsi="Verdana" w:cs="Times New Roman"/>
          <w:noProof/>
          <w:sz w:val="24"/>
          <w:lang w:val="es-ES_tradnl"/>
        </w:rPr>
        <w:t>(1), 1–13. https://doi.org/10.1038/s41598-017-15724-8</w:t>
      </w:r>
    </w:p>
    <w:p w:rsidRPr="00E514BB" w:rsidR="00E514BB" w:rsidP="00E514BB" w:rsidRDefault="00E514BB" w14:paraId="1C1BBA84"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Liu, Yumian, &amp; Wang, Z. (2024). Intelligent Food Packaging Design Based on Visual Communication and Multimedia Technology. </w:t>
      </w:r>
      <w:r w:rsidRPr="00E514BB">
        <w:rPr>
          <w:rFonts w:ascii="Verdana" w:hAnsi="Verdana" w:cs="Times New Roman"/>
          <w:i/>
          <w:iCs/>
          <w:noProof/>
          <w:sz w:val="24"/>
          <w:lang w:val="es-ES_tradnl"/>
        </w:rPr>
        <w:t>Turkish Journal of Agriculture and Forestry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48</w:t>
      </w:r>
      <w:r w:rsidRPr="00E514BB">
        <w:rPr>
          <w:rFonts w:ascii="Verdana" w:hAnsi="Verdana" w:cs="Times New Roman"/>
          <w:noProof/>
          <w:sz w:val="24"/>
          <w:lang w:val="es-ES_tradnl"/>
        </w:rPr>
        <w:t>(2), 263–277. https://doi.org/10.55730/1300-011X.3179</w:t>
      </w:r>
    </w:p>
    <w:p w:rsidRPr="00E514BB" w:rsidR="00E514BB" w:rsidP="00E514BB" w:rsidRDefault="00E514BB" w14:paraId="6ECF0C14"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Liu, Yutong, Tong, Y., Tong, Q., Xu, W., &amp; Wang, Z. (2023). Effects of sunflower pectin on thermal stability of purple sweet potato anthocyanins at different pH. </w:t>
      </w:r>
      <w:r w:rsidRPr="00E514BB">
        <w:rPr>
          <w:rFonts w:ascii="Verdana" w:hAnsi="Verdana" w:cs="Times New Roman"/>
          <w:i/>
          <w:iCs/>
          <w:noProof/>
          <w:sz w:val="24"/>
          <w:lang w:val="es-ES_tradnl"/>
        </w:rPr>
        <w:t>International Journal of Biological Macromolecules</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253</w:t>
      </w:r>
      <w:r w:rsidRPr="00E514BB">
        <w:rPr>
          <w:rFonts w:ascii="Verdana" w:hAnsi="Verdana" w:cs="Times New Roman"/>
          <w:noProof/>
          <w:sz w:val="24"/>
          <w:lang w:val="es-ES_tradnl"/>
        </w:rPr>
        <w:t>, 126663. https://doi.org/10.1016/j.ijbiomac.2023.126663</w:t>
      </w:r>
    </w:p>
    <w:p w:rsidRPr="00E514BB" w:rsidR="00E514BB" w:rsidP="00E514BB" w:rsidRDefault="00E514BB" w14:paraId="180F48F7"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Maravić, N., Teslić, N., Nikolić, D., Dimić, I., Šereš, Z., &amp; Pavlić, B. (2022). From agricultural waste to antioxidant-rich extracts: Green techniques in extraction of polyphenols from sugar beet leaves. </w:t>
      </w:r>
      <w:r w:rsidRPr="00E514BB">
        <w:rPr>
          <w:rFonts w:ascii="Verdana" w:hAnsi="Verdana" w:cs="Times New Roman"/>
          <w:i/>
          <w:iCs/>
          <w:noProof/>
          <w:sz w:val="24"/>
          <w:lang w:val="es-ES_tradnl"/>
        </w:rPr>
        <w:t>Sustainable Chemistry and Pharmacy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28</w:t>
      </w:r>
      <w:r w:rsidRPr="00E514BB">
        <w:rPr>
          <w:rFonts w:ascii="Verdana" w:hAnsi="Verdana" w:cs="Times New Roman"/>
          <w:noProof/>
          <w:sz w:val="24"/>
          <w:lang w:val="es-ES_tradnl"/>
        </w:rPr>
        <w:t>, 100728. https://doi.org/10.1016/j.scp.2022.100728</w:t>
      </w:r>
    </w:p>
    <w:p w:rsidRPr="00E514BB" w:rsidR="00E514BB" w:rsidP="00E514BB" w:rsidRDefault="00E514BB" w14:paraId="1D6EDC36"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Mareta, D. T., Santoso, U., Supriyadi, &amp; Setyaningsih, W. (2025). Optimized ultrasound-assisted extraction for phenolic and antioxidant analysis in purple senggani (Melastoma malabathricum) flowers: Influence of developmental stages. </w:t>
      </w:r>
      <w:r w:rsidRPr="00E514BB">
        <w:rPr>
          <w:rFonts w:ascii="Verdana" w:hAnsi="Verdana" w:cs="Times New Roman"/>
          <w:i/>
          <w:iCs/>
          <w:noProof/>
          <w:sz w:val="24"/>
          <w:lang w:val="es-ES_tradnl"/>
        </w:rPr>
        <w:t>Food Chemistry Advances</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7</w:t>
      </w:r>
      <w:r w:rsidRPr="00E514BB">
        <w:rPr>
          <w:rFonts w:ascii="Verdana" w:hAnsi="Verdana" w:cs="Times New Roman"/>
          <w:noProof/>
          <w:sz w:val="24"/>
          <w:lang w:val="es-ES_tradnl"/>
        </w:rPr>
        <w:t>, 100949. https://doi.org/10.1016/j.focha.2025.100949</w:t>
      </w:r>
    </w:p>
    <w:p w:rsidRPr="00E514BB" w:rsidR="00E514BB" w:rsidP="00E514BB" w:rsidRDefault="00E514BB" w14:paraId="4102CB19"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Netravati, Gomez, S., Pathrose, B., Joseph, M., Shynu, M., &amp; Kuruvila, B. (2024). Comparison of extraction methods on anthocyanin pigment attributes from mangosteen (Garcinia mangostana L.) fruit rind as potential food colourant. </w:t>
      </w:r>
      <w:r w:rsidRPr="00E514BB">
        <w:rPr>
          <w:rFonts w:ascii="Verdana" w:hAnsi="Verdana" w:cs="Times New Roman"/>
          <w:i/>
          <w:iCs/>
          <w:noProof/>
          <w:sz w:val="24"/>
          <w:lang w:val="es-ES_tradnl"/>
        </w:rPr>
        <w:t>Food Chemistry Advances</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4</w:t>
      </w:r>
      <w:r w:rsidRPr="00E514BB">
        <w:rPr>
          <w:rFonts w:ascii="Verdana" w:hAnsi="Verdana" w:cs="Times New Roman"/>
          <w:noProof/>
          <w:sz w:val="24"/>
          <w:lang w:val="es-ES_tradnl"/>
        </w:rPr>
        <w:t>, 100559. https://doi.org/10.1016/j.focha.2023.100559</w:t>
      </w:r>
    </w:p>
    <w:p w:rsidRPr="00E514BB" w:rsidR="00E514BB" w:rsidP="00E514BB" w:rsidRDefault="00E514BB" w14:paraId="233662DD"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Pietrangeli, G., Della Posta, S., D’Alessandro, E., Giannitelli, S. M., Trombetta, M., Maggi, C., … Fanali, C. (2025). Sustainable Supramolecular Deep Eutectic Solvents based extraction for bioactive phenolic compounds recovery from olive pomace. </w:t>
      </w:r>
      <w:r w:rsidRPr="00E514BB">
        <w:rPr>
          <w:rFonts w:ascii="Verdana" w:hAnsi="Verdana" w:cs="Times New Roman"/>
          <w:i/>
          <w:iCs/>
          <w:noProof/>
          <w:sz w:val="24"/>
          <w:lang w:val="es-ES_tradnl"/>
        </w:rPr>
        <w:t>Advances in Sample Preparation</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13</w:t>
      </w:r>
      <w:r w:rsidRPr="00E514BB">
        <w:rPr>
          <w:rFonts w:ascii="Verdana" w:hAnsi="Verdana" w:cs="Times New Roman"/>
          <w:noProof/>
          <w:sz w:val="24"/>
          <w:lang w:val="es-ES_tradnl"/>
        </w:rPr>
        <w:t>, 100166. https://doi.org/10.1016/j.sampre.2025.100166</w:t>
      </w:r>
    </w:p>
    <w:p w:rsidRPr="00E514BB" w:rsidR="00E514BB" w:rsidP="00E514BB" w:rsidRDefault="00E514BB" w14:paraId="787B7786"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Priya, T. S., Patil, P., Siva, B., Roy, D., Dhote, R., Parashar, D., … Suresh Babu, K. (2025). Novel α-mangostin derivatives as promising antiviral agents: Isolation, synthesis, and evaluation against chikungunya virus. </w:t>
      </w:r>
      <w:r w:rsidRPr="00E514BB">
        <w:rPr>
          <w:rFonts w:ascii="Verdana" w:hAnsi="Verdana" w:cs="Times New Roman"/>
          <w:i/>
          <w:iCs/>
          <w:noProof/>
          <w:sz w:val="24"/>
          <w:lang w:val="es-ES_tradnl"/>
        </w:rPr>
        <w:t>European Journal of Medicinal Chemistry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284</w:t>
      </w:r>
      <w:r w:rsidRPr="00E514BB">
        <w:rPr>
          <w:rFonts w:ascii="Verdana" w:hAnsi="Verdana" w:cs="Times New Roman"/>
          <w:noProof/>
          <w:sz w:val="24"/>
          <w:lang w:val="es-ES_tradnl"/>
        </w:rPr>
        <w:t>, 117227. https://doi.org/10.1016/j.ejmech.2024.117227</w:t>
      </w:r>
    </w:p>
    <w:p w:rsidRPr="00E514BB" w:rsidR="00E514BB" w:rsidP="00E514BB" w:rsidRDefault="00E514BB" w14:paraId="33A53535"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Reyes, L. M., Landgraf, M., &amp; Sobral, P. J. A. (2021). Gelatin-based films activated with red propolis ethanolic extract and essential oils. </w:t>
      </w:r>
      <w:r w:rsidRPr="00E514BB">
        <w:rPr>
          <w:rFonts w:ascii="Verdana" w:hAnsi="Verdana" w:cs="Times New Roman"/>
          <w:i/>
          <w:iCs/>
          <w:noProof/>
          <w:sz w:val="24"/>
          <w:lang w:val="es-ES_tradnl"/>
        </w:rPr>
        <w:t>Food Packaging and Shelf Life</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27</w:t>
      </w:r>
      <w:r w:rsidRPr="00E514BB">
        <w:rPr>
          <w:rFonts w:ascii="Verdana" w:hAnsi="Verdana" w:cs="Times New Roman"/>
          <w:noProof/>
          <w:sz w:val="24"/>
          <w:lang w:val="es-ES_tradnl"/>
        </w:rPr>
        <w:t>, 100607. https://doi.org/10.1016/j.fpsl.2020.100607</w:t>
      </w:r>
    </w:p>
    <w:p w:rsidRPr="00E514BB" w:rsidR="00E514BB" w:rsidP="00E514BB" w:rsidRDefault="00E514BB" w14:paraId="63F710E3"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Saini, A., Kumar, A., Panesar, P. S., &amp; Thakur, A. (2022). Potential of deep eutectic solvents in the extraction of value</w:t>
      </w:r>
      <w:r w:rsidRPr="00E514BB">
        <w:rPr>
          <w:rFonts w:ascii="Cambria Math" w:hAnsi="Cambria Math" w:cs="Cambria Math"/>
          <w:noProof/>
          <w:sz w:val="24"/>
          <w:lang w:val="es-ES_tradnl"/>
        </w:rPr>
        <w:t>‐</w:t>
      </w:r>
      <w:r w:rsidRPr="00E514BB">
        <w:rPr>
          <w:rFonts w:ascii="Verdana" w:hAnsi="Verdana" w:cs="Times New Roman"/>
          <w:noProof/>
          <w:sz w:val="24"/>
          <w:lang w:val="es-ES_tradnl"/>
        </w:rPr>
        <w:t>added compounds from agro</w:t>
      </w:r>
      <w:r w:rsidRPr="00E514BB">
        <w:rPr>
          <w:rFonts w:ascii="Cambria Math" w:hAnsi="Cambria Math" w:cs="Cambria Math"/>
          <w:noProof/>
          <w:sz w:val="24"/>
          <w:lang w:val="es-ES_tradnl"/>
        </w:rPr>
        <w:t>‐</w:t>
      </w:r>
      <w:r w:rsidRPr="00E514BB">
        <w:rPr>
          <w:rFonts w:ascii="Verdana" w:hAnsi="Verdana" w:cs="Times New Roman"/>
          <w:noProof/>
          <w:sz w:val="24"/>
          <w:lang w:val="es-ES_tradnl"/>
        </w:rPr>
        <w:t>industrial by</w:t>
      </w:r>
      <w:r w:rsidRPr="00E514BB">
        <w:rPr>
          <w:rFonts w:ascii="Cambria Math" w:hAnsi="Cambria Math" w:cs="Cambria Math"/>
          <w:noProof/>
          <w:sz w:val="24"/>
          <w:lang w:val="es-ES_tradnl"/>
        </w:rPr>
        <w:t>‐</w:t>
      </w:r>
      <w:r w:rsidRPr="00E514BB">
        <w:rPr>
          <w:rFonts w:ascii="Verdana" w:hAnsi="Verdana" w:cs="Times New Roman"/>
          <w:noProof/>
          <w:sz w:val="24"/>
          <w:lang w:val="es-ES_tradnl"/>
        </w:rPr>
        <w:t xml:space="preserve">products. </w:t>
      </w:r>
      <w:r w:rsidRPr="00E514BB">
        <w:rPr>
          <w:rFonts w:ascii="Verdana" w:hAnsi="Verdana" w:cs="Times New Roman"/>
          <w:i/>
          <w:iCs/>
          <w:noProof/>
          <w:sz w:val="24"/>
          <w:lang w:val="es-ES_tradnl"/>
        </w:rPr>
        <w:t>Applied Food Research</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w:t>
      </w:r>
      <w:r w:rsidRPr="00E514BB">
        <w:rPr>
          <w:rFonts w:ascii="Verdana" w:hAnsi="Verdana" w:cs="Times New Roman"/>
          <w:noProof/>
          <w:sz w:val="24"/>
          <w:lang w:val="es-ES_tradnl"/>
        </w:rPr>
        <w:t>(2), 100211. https://doi.org/10.1016/j.afres.2022.100211</w:t>
      </w:r>
    </w:p>
    <w:p w:rsidRPr="00E514BB" w:rsidR="00E514BB" w:rsidP="00E514BB" w:rsidRDefault="00E514BB" w14:paraId="184FBE1E"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Semangoen, T., Chotigawin, R., Sangnim, T., Chailerd, N., Yodkeeree, S., Pahasup-anan, T., &amp; Huanbutta, K. (2025). Antimicrobial efficacy of Mangosteen (Garcinia mangostana) peel extracts in airborne microbial control within livestock farming environments. </w:t>
      </w:r>
      <w:r w:rsidRPr="00E514BB">
        <w:rPr>
          <w:rFonts w:ascii="Verdana" w:hAnsi="Verdana" w:cs="Times New Roman"/>
          <w:i/>
          <w:iCs/>
          <w:noProof/>
          <w:sz w:val="24"/>
          <w:lang w:val="es-ES_tradnl"/>
        </w:rPr>
        <w:t>Microbial Pathogenesis</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204</w:t>
      </w:r>
      <w:r w:rsidRPr="00E514BB">
        <w:rPr>
          <w:rFonts w:ascii="Verdana" w:hAnsi="Verdana" w:cs="Times New Roman"/>
          <w:noProof/>
          <w:sz w:val="24"/>
          <w:lang w:val="es-ES_tradnl"/>
        </w:rPr>
        <w:t>, 107618. https://doi.org/10.1016/j.micpath.2025.107618</w:t>
      </w:r>
    </w:p>
    <w:p w:rsidRPr="00E514BB" w:rsidR="00E514BB" w:rsidP="00E514BB" w:rsidRDefault="00E514BB" w14:paraId="463D3CB8"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Tatiya-aphiradee, N., Chatuphonprasert, W., &amp; Jarukamjorn, K. (2019). Anti-inflammatory effect of Garcinia mangostana Linn. pericarp extract in methicillin-resistant Staphylococcus aureus-induced superficial skin infection in mice. </w:t>
      </w:r>
      <w:r w:rsidRPr="00E514BB">
        <w:rPr>
          <w:rFonts w:ascii="Verdana" w:hAnsi="Verdana" w:cs="Times New Roman"/>
          <w:i/>
          <w:iCs/>
          <w:noProof/>
          <w:sz w:val="24"/>
          <w:lang w:val="es-ES_tradnl"/>
        </w:rPr>
        <w:t>Biomedicine &amp; Pharmacotherapy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111</w:t>
      </w:r>
      <w:r w:rsidRPr="00E514BB">
        <w:rPr>
          <w:rFonts w:ascii="Verdana" w:hAnsi="Verdana" w:cs="Times New Roman"/>
          <w:noProof/>
          <w:sz w:val="24"/>
          <w:lang w:val="es-ES_tradnl"/>
        </w:rPr>
        <w:t>, 705–713. https://doi.org/10.1016/j.biopha.2018.12.142</w:t>
      </w:r>
    </w:p>
    <w:p w:rsidRPr="00E514BB" w:rsidR="00E514BB" w:rsidP="00E514BB" w:rsidRDefault="00E514BB" w14:paraId="364F450C" w14:textId="77777777">
      <w:pPr>
        <w:widowControl w:val="0"/>
        <w:autoSpaceDE w:val="0"/>
        <w:autoSpaceDN w:val="0"/>
        <w:adjustRightInd w:val="0"/>
        <w:spacing w:line="240" w:lineRule="auto"/>
        <w:ind w:left="480" w:hanging="480"/>
        <w:rPr>
          <w:rFonts w:ascii="Verdana" w:hAnsi="Verdana" w:cs="Times New Roman"/>
          <w:noProof/>
          <w:sz w:val="24"/>
          <w:lang w:val="es-ES_tradnl"/>
        </w:rPr>
      </w:pPr>
      <w:r w:rsidRPr="00E514BB">
        <w:rPr>
          <w:rFonts w:ascii="Verdana" w:hAnsi="Verdana" w:cs="Times New Roman"/>
          <w:noProof/>
          <w:sz w:val="24"/>
          <w:lang w:val="es-ES_tradnl"/>
        </w:rPr>
        <w:t xml:space="preserve">Wittenauer, J., Falk, S., Schweiggert-Weisz, U., &amp; Carle, R. (2012). Characterisation and quantification of xanthones from the aril and pericarp of mangosteens (Garcinia mangostana L.) and a mangosteen containing functional beverage by HPLC–DAD–MSn. </w:t>
      </w:r>
      <w:r w:rsidRPr="00E514BB">
        <w:rPr>
          <w:rFonts w:ascii="Verdana" w:hAnsi="Verdana" w:cs="Times New Roman"/>
          <w:i/>
          <w:iCs/>
          <w:noProof/>
          <w:sz w:val="24"/>
          <w:lang w:val="es-ES_tradnl"/>
        </w:rPr>
        <w:t>Food Chemistry</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134</w:t>
      </w:r>
      <w:r w:rsidRPr="00E514BB">
        <w:rPr>
          <w:rFonts w:ascii="Verdana" w:hAnsi="Verdana" w:cs="Times New Roman"/>
          <w:noProof/>
          <w:sz w:val="24"/>
          <w:lang w:val="es-ES_tradnl"/>
        </w:rPr>
        <w:t>(1), 445–452. https://doi.org/10.1016/j.foodchem.2012.02.094</w:t>
      </w:r>
    </w:p>
    <w:p w:rsidRPr="00E514BB" w:rsidR="00E514BB" w:rsidP="00E514BB" w:rsidRDefault="00E514BB" w14:paraId="1A18ADE9" w14:textId="77777777">
      <w:pPr>
        <w:widowControl w:val="0"/>
        <w:autoSpaceDE w:val="0"/>
        <w:autoSpaceDN w:val="0"/>
        <w:adjustRightInd w:val="0"/>
        <w:spacing w:line="240" w:lineRule="auto"/>
        <w:ind w:left="480" w:hanging="480"/>
        <w:rPr>
          <w:rFonts w:ascii="Verdana" w:hAnsi="Verdana"/>
          <w:noProof/>
          <w:sz w:val="24"/>
        </w:rPr>
      </w:pPr>
      <w:r w:rsidRPr="00E514BB">
        <w:rPr>
          <w:rFonts w:ascii="Verdana" w:hAnsi="Verdana" w:cs="Times New Roman"/>
          <w:noProof/>
          <w:sz w:val="24"/>
          <w:lang w:val="es-ES_tradnl"/>
        </w:rPr>
        <w:t xml:space="preserve">Zhan, N., Song, Z., Yu, L., &amp; Huang, D. (2025). Sustainable agriceuticals: Alkaline solubilization and acid precipitation (ASAP) effectively isolate mangosteen pericarps xanthones with high bioactivity. </w:t>
      </w:r>
      <w:r w:rsidRPr="00E514BB">
        <w:rPr>
          <w:rFonts w:ascii="Verdana" w:hAnsi="Verdana" w:cs="Times New Roman"/>
          <w:i/>
          <w:iCs/>
          <w:noProof/>
          <w:sz w:val="24"/>
          <w:lang w:val="es-ES_tradnl"/>
        </w:rPr>
        <w:t>Journal of Agriculture and Food Research</w:t>
      </w:r>
      <w:r w:rsidRPr="00E514BB">
        <w:rPr>
          <w:rFonts w:ascii="Verdana" w:hAnsi="Verdana" w:cs="Times New Roman"/>
          <w:noProof/>
          <w:sz w:val="24"/>
          <w:lang w:val="es-ES_tradnl"/>
        </w:rPr>
        <w:t xml:space="preserve">, </w:t>
      </w:r>
      <w:r w:rsidRPr="00E514BB">
        <w:rPr>
          <w:rFonts w:ascii="Verdana" w:hAnsi="Verdana" w:cs="Times New Roman"/>
          <w:i/>
          <w:iCs/>
          <w:noProof/>
          <w:sz w:val="24"/>
          <w:lang w:val="es-ES_tradnl"/>
        </w:rPr>
        <w:t>19</w:t>
      </w:r>
      <w:r w:rsidRPr="00E514BB">
        <w:rPr>
          <w:rFonts w:ascii="Verdana" w:hAnsi="Verdana" w:cs="Times New Roman"/>
          <w:noProof/>
          <w:sz w:val="24"/>
          <w:lang w:val="es-ES_tradnl"/>
        </w:rPr>
        <w:t>, 101735. https://doi.org/10.1016/j.jafr.2025.101735</w:t>
      </w:r>
    </w:p>
    <w:p w:rsidRPr="00800C23" w:rsidR="00800C23" w:rsidP="00E514BB" w:rsidRDefault="00425C2F" w14:paraId="716537E2" w14:textId="3FD4813C">
      <w:pPr>
        <w:widowControl w:val="0"/>
        <w:autoSpaceDE w:val="0"/>
        <w:autoSpaceDN w:val="0"/>
        <w:adjustRightInd w:val="0"/>
        <w:spacing w:line="240" w:lineRule="auto"/>
        <w:ind w:left="480" w:hanging="480"/>
        <w:rPr>
          <w:rFonts w:ascii="Verdana" w:hAnsi="Verdana"/>
          <w:sz w:val="24"/>
          <w:szCs w:val="24"/>
        </w:rPr>
      </w:pPr>
      <w:r>
        <w:rPr>
          <w:rFonts w:ascii="Verdana" w:hAnsi="Verdana"/>
          <w:sz w:val="24"/>
          <w:szCs w:val="24"/>
        </w:rPr>
        <w:fldChar w:fldCharType="end"/>
      </w:r>
    </w:p>
    <w:sectPr w:rsidRPr="00800C23" w:rsidR="00800C23">
      <w:headerReference w:type="default" r:id="rId15"/>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4D62" w:rsidP="007A61C1" w:rsidRDefault="00EE4D62" w14:paraId="09A5C313" w14:textId="77777777">
      <w:pPr>
        <w:spacing w:after="0" w:line="240" w:lineRule="auto"/>
      </w:pPr>
      <w:r>
        <w:separator/>
      </w:r>
    </w:p>
  </w:endnote>
  <w:endnote w:type="continuationSeparator" w:id="0">
    <w:p w:rsidR="00EE4D62" w:rsidP="007A61C1" w:rsidRDefault="00EE4D62" w14:paraId="2FD44FD8" w14:textId="77777777">
      <w:pPr>
        <w:spacing w:after="0" w:line="240" w:lineRule="auto"/>
      </w:pPr>
      <w:r>
        <w:continuationSeparator/>
      </w:r>
    </w:p>
  </w:endnote>
  <w:endnote w:type="continuationNotice" w:id="1">
    <w:p w:rsidR="00EE4D62" w:rsidRDefault="00EE4D62" w14:paraId="69A7F7B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4D62" w:rsidP="007A61C1" w:rsidRDefault="00EE4D62" w14:paraId="6FB34266" w14:textId="77777777">
      <w:pPr>
        <w:spacing w:after="0" w:line="240" w:lineRule="auto"/>
      </w:pPr>
      <w:r>
        <w:separator/>
      </w:r>
    </w:p>
  </w:footnote>
  <w:footnote w:type="continuationSeparator" w:id="0">
    <w:p w:rsidR="00EE4D62" w:rsidP="007A61C1" w:rsidRDefault="00EE4D62" w14:paraId="6EEBA0E5" w14:textId="77777777">
      <w:pPr>
        <w:spacing w:after="0" w:line="240" w:lineRule="auto"/>
      </w:pPr>
      <w:r>
        <w:continuationSeparator/>
      </w:r>
    </w:p>
  </w:footnote>
  <w:footnote w:type="continuationNotice" w:id="1">
    <w:p w:rsidR="00EE4D62" w:rsidRDefault="00EE4D62" w14:paraId="6D08A62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AE5D6C" w:rsidR="00CE1CC3" w:rsidP="00AE5D6C" w:rsidRDefault="00413950" w14:paraId="0F1F8177" w14:textId="04008134">
    <w:pPr>
      <w:pStyle w:val="Encabezado"/>
      <w:jc w:val="right"/>
      <w:rPr>
        <w:b/>
        <w:i/>
        <w:color w:val="00B0F0"/>
        <w:lang w:val="es-ES"/>
      </w:rPr>
    </w:pPr>
    <w:r w:rsidRPr="00262005">
      <w:rPr>
        <w:b/>
        <w:i/>
        <w:noProof/>
        <w:color w:val="00B0F0"/>
        <w:lang w:val="es-ES"/>
      </w:rPr>
      <w:drawing>
        <wp:anchor distT="0" distB="0" distL="114300" distR="114300" simplePos="0" relativeHeight="251659264" behindDoc="1" locked="0" layoutInCell="1" allowOverlap="1" wp14:anchorId="3645DC5C" wp14:editId="3D21DDA1">
          <wp:simplePos x="0" y="0"/>
          <wp:positionH relativeFrom="column">
            <wp:posOffset>4503151</wp:posOffset>
          </wp:positionH>
          <wp:positionV relativeFrom="paragraph">
            <wp:posOffset>-266885</wp:posOffset>
          </wp:positionV>
          <wp:extent cx="1687398" cy="610441"/>
          <wp:effectExtent l="0" t="0" r="1905" b="0"/>
          <wp:wrapTight wrapText="bothSides">
            <wp:wrapPolygon edited="0">
              <wp:start x="0" y="0"/>
              <wp:lineTo x="0" y="21128"/>
              <wp:lineTo x="21462" y="21128"/>
              <wp:lineTo x="21462" y="0"/>
              <wp:lineTo x="0" y="0"/>
            </wp:wrapPolygon>
          </wp:wrapTight>
          <wp:docPr id="1580707899"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07899" name="Imagen 1"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687398" cy="61044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32A1F"/>
    <w:rsid w:val="00034BE1"/>
    <w:rsid w:val="00036223"/>
    <w:rsid w:val="00036F92"/>
    <w:rsid w:val="00052CDF"/>
    <w:rsid w:val="00054309"/>
    <w:rsid w:val="00083B31"/>
    <w:rsid w:val="00087428"/>
    <w:rsid w:val="000B228D"/>
    <w:rsid w:val="000B50A7"/>
    <w:rsid w:val="000C39B8"/>
    <w:rsid w:val="000C5E65"/>
    <w:rsid w:val="000E5DBE"/>
    <w:rsid w:val="000F656C"/>
    <w:rsid w:val="000F74F5"/>
    <w:rsid w:val="001045AF"/>
    <w:rsid w:val="001422DF"/>
    <w:rsid w:val="001474E8"/>
    <w:rsid w:val="00154F1F"/>
    <w:rsid w:val="001A0286"/>
    <w:rsid w:val="001D114E"/>
    <w:rsid w:val="001E1488"/>
    <w:rsid w:val="002032D3"/>
    <w:rsid w:val="002131AA"/>
    <w:rsid w:val="00213A64"/>
    <w:rsid w:val="002862D8"/>
    <w:rsid w:val="00287BA3"/>
    <w:rsid w:val="002C29A0"/>
    <w:rsid w:val="002C410F"/>
    <w:rsid w:val="002D37DB"/>
    <w:rsid w:val="002E4C93"/>
    <w:rsid w:val="002F225B"/>
    <w:rsid w:val="002F50D4"/>
    <w:rsid w:val="002F593D"/>
    <w:rsid w:val="002F5D48"/>
    <w:rsid w:val="00312452"/>
    <w:rsid w:val="00346FE2"/>
    <w:rsid w:val="00367107"/>
    <w:rsid w:val="00374CFC"/>
    <w:rsid w:val="003B0FEF"/>
    <w:rsid w:val="003B4637"/>
    <w:rsid w:val="003C6CC2"/>
    <w:rsid w:val="003C7869"/>
    <w:rsid w:val="00413950"/>
    <w:rsid w:val="00425C2F"/>
    <w:rsid w:val="00426CA7"/>
    <w:rsid w:val="0043602B"/>
    <w:rsid w:val="00465547"/>
    <w:rsid w:val="0049377D"/>
    <w:rsid w:val="00497073"/>
    <w:rsid w:val="0049760A"/>
    <w:rsid w:val="004B13FC"/>
    <w:rsid w:val="004D0244"/>
    <w:rsid w:val="004E6C84"/>
    <w:rsid w:val="00504DC4"/>
    <w:rsid w:val="0051252B"/>
    <w:rsid w:val="00516874"/>
    <w:rsid w:val="00521FCD"/>
    <w:rsid w:val="00526FE4"/>
    <w:rsid w:val="0053193A"/>
    <w:rsid w:val="005439A9"/>
    <w:rsid w:val="00577EB8"/>
    <w:rsid w:val="005B0D78"/>
    <w:rsid w:val="005E4CAB"/>
    <w:rsid w:val="005E7586"/>
    <w:rsid w:val="005F2BAD"/>
    <w:rsid w:val="00626AE2"/>
    <w:rsid w:val="00670FAD"/>
    <w:rsid w:val="0067264E"/>
    <w:rsid w:val="00672AA0"/>
    <w:rsid w:val="0068350C"/>
    <w:rsid w:val="00694955"/>
    <w:rsid w:val="00697078"/>
    <w:rsid w:val="006A4676"/>
    <w:rsid w:val="006D1636"/>
    <w:rsid w:val="006D53B7"/>
    <w:rsid w:val="006D6C35"/>
    <w:rsid w:val="006E4C74"/>
    <w:rsid w:val="006E5AA3"/>
    <w:rsid w:val="007262F0"/>
    <w:rsid w:val="00783327"/>
    <w:rsid w:val="007A61C1"/>
    <w:rsid w:val="007B04EF"/>
    <w:rsid w:val="007B38C7"/>
    <w:rsid w:val="007F21BE"/>
    <w:rsid w:val="007F2D0F"/>
    <w:rsid w:val="00800C23"/>
    <w:rsid w:val="008164D8"/>
    <w:rsid w:val="008269AC"/>
    <w:rsid w:val="00840DD3"/>
    <w:rsid w:val="00847033"/>
    <w:rsid w:val="00865640"/>
    <w:rsid w:val="00885C55"/>
    <w:rsid w:val="008A3B0B"/>
    <w:rsid w:val="008B0691"/>
    <w:rsid w:val="008B3705"/>
    <w:rsid w:val="008B6494"/>
    <w:rsid w:val="008D3168"/>
    <w:rsid w:val="008F5905"/>
    <w:rsid w:val="00925DBF"/>
    <w:rsid w:val="009274F4"/>
    <w:rsid w:val="009610E4"/>
    <w:rsid w:val="00961584"/>
    <w:rsid w:val="00984901"/>
    <w:rsid w:val="009B6A33"/>
    <w:rsid w:val="00A026E7"/>
    <w:rsid w:val="00A15F9E"/>
    <w:rsid w:val="00A316A5"/>
    <w:rsid w:val="00A37AA7"/>
    <w:rsid w:val="00A546C7"/>
    <w:rsid w:val="00A56AAA"/>
    <w:rsid w:val="00A722C8"/>
    <w:rsid w:val="00AD119E"/>
    <w:rsid w:val="00AE5D6C"/>
    <w:rsid w:val="00AF3B4C"/>
    <w:rsid w:val="00AF429F"/>
    <w:rsid w:val="00AF498A"/>
    <w:rsid w:val="00B43113"/>
    <w:rsid w:val="00B63C6D"/>
    <w:rsid w:val="00BB15E9"/>
    <w:rsid w:val="00BB2BBA"/>
    <w:rsid w:val="00BF1E83"/>
    <w:rsid w:val="00C516AE"/>
    <w:rsid w:val="00C8540D"/>
    <w:rsid w:val="00CC38B6"/>
    <w:rsid w:val="00CE1CC3"/>
    <w:rsid w:val="00D22362"/>
    <w:rsid w:val="00D25A90"/>
    <w:rsid w:val="00D27FDC"/>
    <w:rsid w:val="00D53E62"/>
    <w:rsid w:val="00D6629B"/>
    <w:rsid w:val="00D77359"/>
    <w:rsid w:val="00D8157D"/>
    <w:rsid w:val="00D87D01"/>
    <w:rsid w:val="00DB5275"/>
    <w:rsid w:val="00DB6E93"/>
    <w:rsid w:val="00DD0170"/>
    <w:rsid w:val="00DE3903"/>
    <w:rsid w:val="00E05C46"/>
    <w:rsid w:val="00E0694F"/>
    <w:rsid w:val="00E121DF"/>
    <w:rsid w:val="00E345AC"/>
    <w:rsid w:val="00E36FF6"/>
    <w:rsid w:val="00E43C54"/>
    <w:rsid w:val="00E514BB"/>
    <w:rsid w:val="00E55412"/>
    <w:rsid w:val="00E67112"/>
    <w:rsid w:val="00E705DA"/>
    <w:rsid w:val="00E71CFF"/>
    <w:rsid w:val="00E734BF"/>
    <w:rsid w:val="00EE4D62"/>
    <w:rsid w:val="00F234B3"/>
    <w:rsid w:val="00F45A75"/>
    <w:rsid w:val="00F62573"/>
    <w:rsid w:val="00F735B6"/>
    <w:rsid w:val="00F7503C"/>
    <w:rsid w:val="00F82103"/>
    <w:rsid w:val="00F84959"/>
    <w:rsid w:val="00F85D88"/>
    <w:rsid w:val="00F9692A"/>
    <w:rsid w:val="00FC5BD0"/>
    <w:rsid w:val="00FC6559"/>
    <w:rsid w:val="00FD13A7"/>
    <w:rsid w:val="00FE780A"/>
    <w:rsid w:val="02276419"/>
    <w:rsid w:val="05DCC5CE"/>
    <w:rsid w:val="0640DA96"/>
    <w:rsid w:val="0742047C"/>
    <w:rsid w:val="0A268F97"/>
    <w:rsid w:val="0BE14DB9"/>
    <w:rsid w:val="0DD066AF"/>
    <w:rsid w:val="14B1CCC7"/>
    <w:rsid w:val="1767D882"/>
    <w:rsid w:val="17BC07B1"/>
    <w:rsid w:val="1828DB2B"/>
    <w:rsid w:val="1979E15C"/>
    <w:rsid w:val="1BB7E967"/>
    <w:rsid w:val="1D0A3386"/>
    <w:rsid w:val="1FCAC7CA"/>
    <w:rsid w:val="22FD2598"/>
    <w:rsid w:val="250FB421"/>
    <w:rsid w:val="26124104"/>
    <w:rsid w:val="2CE979F2"/>
    <w:rsid w:val="2EB7FF0D"/>
    <w:rsid w:val="36B2B6A5"/>
    <w:rsid w:val="3CEB8552"/>
    <w:rsid w:val="3D4B4581"/>
    <w:rsid w:val="4243CA53"/>
    <w:rsid w:val="442CFFB5"/>
    <w:rsid w:val="45279A06"/>
    <w:rsid w:val="48E4DDCB"/>
    <w:rsid w:val="499BFFA9"/>
    <w:rsid w:val="4A58F757"/>
    <w:rsid w:val="4E786831"/>
    <w:rsid w:val="50739068"/>
    <w:rsid w:val="5396BE3D"/>
    <w:rsid w:val="5999C4DE"/>
    <w:rsid w:val="5A75DD1A"/>
    <w:rsid w:val="5AD71B4F"/>
    <w:rsid w:val="5B1394A1"/>
    <w:rsid w:val="5B9C7857"/>
    <w:rsid w:val="5D058689"/>
    <w:rsid w:val="5D16FD7B"/>
    <w:rsid w:val="60981CAD"/>
    <w:rsid w:val="69D9EF91"/>
    <w:rsid w:val="6A68AA51"/>
    <w:rsid w:val="6B25A4AA"/>
    <w:rsid w:val="6BA14445"/>
    <w:rsid w:val="6E7BEBE9"/>
    <w:rsid w:val="75653484"/>
    <w:rsid w:val="79D9FBE3"/>
    <w:rsid w:val="7BEC1B40"/>
    <w:rsid w:val="7C86A7FA"/>
    <w:rsid w:val="7FEB77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s-CO"/>
    </w:rPr>
  </w:style>
  <w:style w:type="character" w:styleId="HTMLconformatoprevioCar" w:customStyle="1">
    <w:name w:val="HTML con formato previo Car"/>
    <w:basedOn w:val="Fuentedeprrafopredeter"/>
    <w:link w:val="HTMLconformatoprevio"/>
    <w:uiPriority w:val="99"/>
    <w:semiHidden/>
    <w:rsid w:val="007A61C1"/>
    <w:rPr>
      <w:rFonts w:ascii="Courier New" w:hAnsi="Courier New" w:eastAsia="Times New Roman" w:cs="Courier New"/>
      <w:sz w:val="20"/>
      <w:szCs w:val="20"/>
      <w:lang w:eastAsia="es-CO"/>
    </w:rPr>
  </w:style>
  <w:style w:type="table" w:styleId="Tablaconcuadrcula">
    <w:name w:val="Table Grid"/>
    <w:basedOn w:val="Tablanormal"/>
    <w:uiPriority w:val="39"/>
    <w:rsid w:val="002C29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nchor-text" w:customStyle="1">
    <w:name w:val="anchor-text"/>
    <w:basedOn w:val="Fuentedeprrafopredeter"/>
    <w:rsid w:val="00F735B6"/>
  </w:style>
  <w:style w:type="character" w:styleId="Hipervnculo">
    <w:name w:val="Hyperlink"/>
    <w:basedOn w:val="Fuentedeprrafopredeter"/>
    <w:uiPriority w:val="99"/>
    <w:unhideWhenUsed/>
    <w:rsid w:val="00694955"/>
    <w:rPr>
      <w:color w:val="0000FF"/>
      <w:u w:val="single"/>
    </w:rPr>
  </w:style>
  <w:style w:type="character" w:styleId="Mencinsinresolver">
    <w:name w:val="Unresolved Mention"/>
    <w:basedOn w:val="Fuentedeprrafopredeter"/>
    <w:uiPriority w:val="99"/>
    <w:semiHidden/>
    <w:unhideWhenUsed/>
    <w:rsid w:val="000F7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0535">
      <w:bodyDiv w:val="1"/>
      <w:marLeft w:val="0"/>
      <w:marRight w:val="0"/>
      <w:marTop w:val="0"/>
      <w:marBottom w:val="0"/>
      <w:divBdr>
        <w:top w:val="none" w:sz="0" w:space="0" w:color="auto"/>
        <w:left w:val="none" w:sz="0" w:space="0" w:color="auto"/>
        <w:bottom w:val="none" w:sz="0" w:space="0" w:color="auto"/>
        <w:right w:val="none" w:sz="0" w:space="0" w:color="auto"/>
      </w:divBdr>
    </w:div>
    <w:div w:id="286862320">
      <w:bodyDiv w:val="1"/>
      <w:marLeft w:val="0"/>
      <w:marRight w:val="0"/>
      <w:marTop w:val="0"/>
      <w:marBottom w:val="0"/>
      <w:divBdr>
        <w:top w:val="none" w:sz="0" w:space="0" w:color="auto"/>
        <w:left w:val="none" w:sz="0" w:space="0" w:color="auto"/>
        <w:bottom w:val="none" w:sz="0" w:space="0" w:color="auto"/>
        <w:right w:val="none" w:sz="0" w:space="0" w:color="auto"/>
      </w:divBdr>
    </w:div>
    <w:div w:id="524684011">
      <w:bodyDiv w:val="1"/>
      <w:marLeft w:val="0"/>
      <w:marRight w:val="0"/>
      <w:marTop w:val="0"/>
      <w:marBottom w:val="0"/>
      <w:divBdr>
        <w:top w:val="none" w:sz="0" w:space="0" w:color="auto"/>
        <w:left w:val="none" w:sz="0" w:space="0" w:color="auto"/>
        <w:bottom w:val="none" w:sz="0" w:space="0" w:color="auto"/>
        <w:right w:val="none" w:sz="0" w:space="0" w:color="auto"/>
      </w:divBdr>
    </w:div>
    <w:div w:id="561252045">
      <w:bodyDiv w:val="1"/>
      <w:marLeft w:val="0"/>
      <w:marRight w:val="0"/>
      <w:marTop w:val="0"/>
      <w:marBottom w:val="0"/>
      <w:divBdr>
        <w:top w:val="none" w:sz="0" w:space="0" w:color="auto"/>
        <w:left w:val="none" w:sz="0" w:space="0" w:color="auto"/>
        <w:bottom w:val="none" w:sz="0" w:space="0" w:color="auto"/>
        <w:right w:val="none" w:sz="0" w:space="0" w:color="auto"/>
      </w:divBdr>
    </w:div>
    <w:div w:id="561257524">
      <w:bodyDiv w:val="1"/>
      <w:marLeft w:val="0"/>
      <w:marRight w:val="0"/>
      <w:marTop w:val="0"/>
      <w:marBottom w:val="0"/>
      <w:divBdr>
        <w:top w:val="none" w:sz="0" w:space="0" w:color="auto"/>
        <w:left w:val="none" w:sz="0" w:space="0" w:color="auto"/>
        <w:bottom w:val="none" w:sz="0" w:space="0" w:color="auto"/>
        <w:right w:val="none" w:sz="0" w:space="0" w:color="auto"/>
      </w:divBdr>
    </w:div>
    <w:div w:id="565339582">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878930166">
      <w:bodyDiv w:val="1"/>
      <w:marLeft w:val="0"/>
      <w:marRight w:val="0"/>
      <w:marTop w:val="0"/>
      <w:marBottom w:val="0"/>
      <w:divBdr>
        <w:top w:val="none" w:sz="0" w:space="0" w:color="auto"/>
        <w:left w:val="none" w:sz="0" w:space="0" w:color="auto"/>
        <w:bottom w:val="none" w:sz="0" w:space="0" w:color="auto"/>
        <w:right w:val="none" w:sz="0" w:space="0" w:color="auto"/>
      </w:divBdr>
    </w:div>
    <w:div w:id="1172916331">
      <w:bodyDiv w:val="1"/>
      <w:marLeft w:val="0"/>
      <w:marRight w:val="0"/>
      <w:marTop w:val="0"/>
      <w:marBottom w:val="0"/>
      <w:divBdr>
        <w:top w:val="none" w:sz="0" w:space="0" w:color="auto"/>
        <w:left w:val="none" w:sz="0" w:space="0" w:color="auto"/>
        <w:bottom w:val="none" w:sz="0" w:space="0" w:color="auto"/>
        <w:right w:val="none" w:sz="0" w:space="0" w:color="auto"/>
      </w:divBdr>
    </w:div>
    <w:div w:id="1218274910">
      <w:bodyDiv w:val="1"/>
      <w:marLeft w:val="0"/>
      <w:marRight w:val="0"/>
      <w:marTop w:val="0"/>
      <w:marBottom w:val="0"/>
      <w:divBdr>
        <w:top w:val="none" w:sz="0" w:space="0" w:color="auto"/>
        <w:left w:val="none" w:sz="0" w:space="0" w:color="auto"/>
        <w:bottom w:val="none" w:sz="0" w:space="0" w:color="auto"/>
        <w:right w:val="none" w:sz="0" w:space="0" w:color="auto"/>
      </w:divBdr>
    </w:div>
    <w:div w:id="1237739969">
      <w:bodyDiv w:val="1"/>
      <w:marLeft w:val="0"/>
      <w:marRight w:val="0"/>
      <w:marTop w:val="0"/>
      <w:marBottom w:val="0"/>
      <w:divBdr>
        <w:top w:val="none" w:sz="0" w:space="0" w:color="auto"/>
        <w:left w:val="none" w:sz="0" w:space="0" w:color="auto"/>
        <w:bottom w:val="none" w:sz="0" w:space="0" w:color="auto"/>
        <w:right w:val="none" w:sz="0" w:space="0" w:color="auto"/>
      </w:divBdr>
    </w:div>
    <w:div w:id="1257326485">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475022312">
      <w:bodyDiv w:val="1"/>
      <w:marLeft w:val="0"/>
      <w:marRight w:val="0"/>
      <w:marTop w:val="0"/>
      <w:marBottom w:val="0"/>
      <w:divBdr>
        <w:top w:val="none" w:sz="0" w:space="0" w:color="auto"/>
        <w:left w:val="none" w:sz="0" w:space="0" w:color="auto"/>
        <w:bottom w:val="none" w:sz="0" w:space="0" w:color="auto"/>
        <w:right w:val="none" w:sz="0" w:space="0" w:color="auto"/>
      </w:divBdr>
    </w:div>
    <w:div w:id="1484009682">
      <w:bodyDiv w:val="1"/>
      <w:marLeft w:val="0"/>
      <w:marRight w:val="0"/>
      <w:marTop w:val="0"/>
      <w:marBottom w:val="0"/>
      <w:divBdr>
        <w:top w:val="none" w:sz="0" w:space="0" w:color="auto"/>
        <w:left w:val="none" w:sz="0" w:space="0" w:color="auto"/>
        <w:bottom w:val="none" w:sz="0" w:space="0" w:color="auto"/>
        <w:right w:val="none" w:sz="0" w:space="0" w:color="auto"/>
      </w:divBdr>
    </w:div>
    <w:div w:id="1507279847">
      <w:bodyDiv w:val="1"/>
      <w:marLeft w:val="0"/>
      <w:marRight w:val="0"/>
      <w:marTop w:val="0"/>
      <w:marBottom w:val="0"/>
      <w:divBdr>
        <w:top w:val="none" w:sz="0" w:space="0" w:color="auto"/>
        <w:left w:val="none" w:sz="0" w:space="0" w:color="auto"/>
        <w:bottom w:val="none" w:sz="0" w:space="0" w:color="auto"/>
        <w:right w:val="none" w:sz="0" w:space="0" w:color="auto"/>
      </w:divBdr>
    </w:div>
    <w:div w:id="1526212714">
      <w:bodyDiv w:val="1"/>
      <w:marLeft w:val="0"/>
      <w:marRight w:val="0"/>
      <w:marTop w:val="0"/>
      <w:marBottom w:val="0"/>
      <w:divBdr>
        <w:top w:val="none" w:sz="0" w:space="0" w:color="auto"/>
        <w:left w:val="none" w:sz="0" w:space="0" w:color="auto"/>
        <w:bottom w:val="none" w:sz="0" w:space="0" w:color="auto"/>
        <w:right w:val="none" w:sz="0" w:space="0" w:color="auto"/>
      </w:divBdr>
    </w:div>
    <w:div w:id="1648242212">
      <w:bodyDiv w:val="1"/>
      <w:marLeft w:val="0"/>
      <w:marRight w:val="0"/>
      <w:marTop w:val="0"/>
      <w:marBottom w:val="0"/>
      <w:divBdr>
        <w:top w:val="none" w:sz="0" w:space="0" w:color="auto"/>
        <w:left w:val="none" w:sz="0" w:space="0" w:color="auto"/>
        <w:bottom w:val="none" w:sz="0" w:space="0" w:color="auto"/>
        <w:right w:val="none" w:sz="0" w:space="0" w:color="auto"/>
      </w:divBdr>
    </w:div>
    <w:div w:id="1711878397">
      <w:bodyDiv w:val="1"/>
      <w:marLeft w:val="0"/>
      <w:marRight w:val="0"/>
      <w:marTop w:val="0"/>
      <w:marBottom w:val="0"/>
      <w:divBdr>
        <w:top w:val="none" w:sz="0" w:space="0" w:color="auto"/>
        <w:left w:val="none" w:sz="0" w:space="0" w:color="auto"/>
        <w:bottom w:val="none" w:sz="0" w:space="0" w:color="auto"/>
        <w:right w:val="none" w:sz="0" w:space="0" w:color="auto"/>
      </w:divBdr>
    </w:div>
    <w:div w:id="1811246277">
      <w:bodyDiv w:val="1"/>
      <w:marLeft w:val="0"/>
      <w:marRight w:val="0"/>
      <w:marTop w:val="0"/>
      <w:marBottom w:val="0"/>
      <w:divBdr>
        <w:top w:val="none" w:sz="0" w:space="0" w:color="auto"/>
        <w:left w:val="none" w:sz="0" w:space="0" w:color="auto"/>
        <w:bottom w:val="none" w:sz="0" w:space="0" w:color="auto"/>
        <w:right w:val="none" w:sz="0" w:space="0" w:color="auto"/>
      </w:divBdr>
    </w:div>
    <w:div w:id="2087259631">
      <w:bodyDiv w:val="1"/>
      <w:marLeft w:val="0"/>
      <w:marRight w:val="0"/>
      <w:marTop w:val="0"/>
      <w:marBottom w:val="0"/>
      <w:divBdr>
        <w:top w:val="none" w:sz="0" w:space="0" w:color="auto"/>
        <w:left w:val="none" w:sz="0" w:space="0" w:color="auto"/>
        <w:bottom w:val="none" w:sz="0" w:space="0" w:color="auto"/>
        <w:right w:val="none" w:sz="0" w:space="0" w:color="auto"/>
      </w:divBdr>
    </w:div>
    <w:div w:id="2102723043">
      <w:bodyDiv w:val="1"/>
      <w:marLeft w:val="0"/>
      <w:marRight w:val="0"/>
      <w:marTop w:val="0"/>
      <w:marBottom w:val="0"/>
      <w:divBdr>
        <w:top w:val="none" w:sz="0" w:space="0" w:color="auto"/>
        <w:left w:val="none" w:sz="0" w:space="0" w:color="auto"/>
        <w:bottom w:val="none" w:sz="0" w:space="0" w:color="auto"/>
        <w:right w:val="none" w:sz="0" w:space="0" w:color="auto"/>
      </w:divBdr>
    </w:div>
    <w:div w:id="210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laura.reyes@unad.edu.co" TargetMode="External" Id="rId8" /><Relationship Type="http://schemas.openxmlformats.org/officeDocument/2006/relationships/image" Target="media/image3.emf" Id="rId13" /><Relationship Type="http://schemas.openxmlformats.org/officeDocument/2006/relationships/settings" Target="settings.xml" Id="rId3" /><Relationship Type="http://schemas.openxmlformats.org/officeDocument/2006/relationships/hyperlink" Target="https://orcid.org/0000-0002-3782-8747" TargetMode="External" Id="rId7" /><Relationship Type="http://schemas.openxmlformats.org/officeDocument/2006/relationships/image" Target="media/image2.emf"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1.emf" Id="rId11" /><Relationship Type="http://schemas.openxmlformats.org/officeDocument/2006/relationships/footnotes" Target="footnotes.xml" Id="rId5" /><Relationship Type="http://schemas.openxmlformats.org/officeDocument/2006/relationships/header" Target="header1.xml" Id="rId15" /><Relationship Type="http://schemas.openxmlformats.org/officeDocument/2006/relationships/hyperlink" Target="mailto:eduart.gutierrez@unad.edu.co" TargetMode="External" Id="rId10" /><Relationship Type="http://schemas.openxmlformats.org/officeDocument/2006/relationships/webSettings" Target="webSettings.xml" Id="rId4" /><Relationship Type="http://schemas.openxmlformats.org/officeDocument/2006/relationships/hyperlink" Target="https://orcid.org/0000-0002-8651-9828" TargetMode="External" Id="rId9" /><Relationship Type="http://schemas.openxmlformats.org/officeDocument/2006/relationships/image" Target="media/image4.emf" Id="rId14"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BE751-2BD1-A44E-8479-5F6483CC91E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martin gomez orduz</dc:creator>
  <keywords/>
  <dc:description/>
  <lastModifiedBy>Laura Maria Reyes Mendez</lastModifiedBy>
  <revision>136</revision>
  <dcterms:created xsi:type="dcterms:W3CDTF">2018-08-22T15:49:00.0000000Z</dcterms:created>
  <dcterms:modified xsi:type="dcterms:W3CDTF">2025-09-04T13:08:15.4868962Z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http://www.zotero.org/styles/chemosphere</vt:lpwstr>
  </property>
  <property fmtid="{D5CDD505-2E9C-101B-9397-08002B2CF9AE}" pid="11" name="Mendeley Recent Style Name 4_1">
    <vt:lpwstr>Chemosphere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16cef0a4-8764-3eae-a029-a93c911114a5</vt:lpwstr>
  </property>
</Properties>
</file>