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F2F95" w14:textId="6A5A80F7" w:rsidR="00AB5521" w:rsidRDefault="00AB5521" w:rsidP="007A61C1">
      <w:pPr>
        <w:jc w:val="center"/>
        <w:rPr>
          <w:rFonts w:ascii="Verdana" w:hAnsi="Verdana"/>
          <w:b/>
          <w:sz w:val="24"/>
          <w:szCs w:val="24"/>
        </w:rPr>
      </w:pPr>
      <w:r>
        <w:rPr>
          <w:rFonts w:ascii="Verdana" w:hAnsi="Verdana"/>
          <w:b/>
          <w:sz w:val="24"/>
          <w:szCs w:val="24"/>
        </w:rPr>
        <w:t>T</w:t>
      </w:r>
      <w:r w:rsidRPr="00AB5521">
        <w:rPr>
          <w:rFonts w:ascii="Verdana" w:hAnsi="Verdana"/>
          <w:b/>
          <w:sz w:val="24"/>
          <w:szCs w:val="24"/>
        </w:rPr>
        <w:t xml:space="preserve">RANSICIÓN ENERGÉTICA JUSTA: </w:t>
      </w:r>
      <w:r>
        <w:rPr>
          <w:rFonts w:ascii="Verdana" w:hAnsi="Verdana"/>
          <w:b/>
          <w:sz w:val="24"/>
          <w:szCs w:val="24"/>
        </w:rPr>
        <w:t>D</w:t>
      </w:r>
      <w:r w:rsidRPr="00AB5521">
        <w:rPr>
          <w:rFonts w:ascii="Verdana" w:hAnsi="Verdana"/>
          <w:b/>
          <w:sz w:val="24"/>
          <w:szCs w:val="24"/>
        </w:rPr>
        <w:t>ESAFÍOS Y OPORTUNIDADES EN COMUNIDADES RURALES</w:t>
      </w:r>
    </w:p>
    <w:p w14:paraId="51A2F638" w14:textId="17485D4F" w:rsidR="00AB5521" w:rsidRDefault="00AB5521" w:rsidP="007A61C1">
      <w:pPr>
        <w:jc w:val="center"/>
        <w:rPr>
          <w:rFonts w:ascii="Verdana" w:hAnsi="Verdana"/>
          <w:b/>
          <w:sz w:val="24"/>
          <w:szCs w:val="24"/>
        </w:rPr>
      </w:pPr>
      <w:r w:rsidRPr="00AB5521">
        <w:rPr>
          <w:rFonts w:ascii="Verdana" w:hAnsi="Verdana"/>
          <w:b/>
          <w:sz w:val="24"/>
          <w:szCs w:val="24"/>
        </w:rPr>
        <w:t>JUST ENERGY TRANSITION: CHALLENGES AND OPPORTUNITIES IN RURAL COMMUNITIES</w:t>
      </w:r>
    </w:p>
    <w:p w14:paraId="0C71DCD4" w14:textId="77777777" w:rsidR="007A61C1" w:rsidRPr="007A61C1" w:rsidRDefault="007A61C1" w:rsidP="007A61C1">
      <w:pPr>
        <w:rPr>
          <w:rFonts w:ascii="Verdana" w:hAnsi="Verdana"/>
          <w:sz w:val="24"/>
          <w:szCs w:val="24"/>
        </w:rPr>
      </w:pPr>
    </w:p>
    <w:p w14:paraId="07317714" w14:textId="782A5B2E" w:rsidR="007A61C1" w:rsidRDefault="007A61C1" w:rsidP="007A61C1">
      <w:pPr>
        <w:spacing w:after="0" w:line="240" w:lineRule="auto"/>
        <w:rPr>
          <w:rFonts w:ascii="Verdana" w:hAnsi="Verdana"/>
          <w:sz w:val="24"/>
          <w:szCs w:val="24"/>
        </w:rPr>
      </w:pPr>
      <w:r w:rsidRPr="007A61C1">
        <w:rPr>
          <w:rFonts w:ascii="Verdana" w:hAnsi="Verdana"/>
          <w:sz w:val="24"/>
          <w:szCs w:val="24"/>
        </w:rPr>
        <w:t>Autor</w:t>
      </w:r>
      <w:r>
        <w:rPr>
          <w:rFonts w:ascii="Verdana" w:hAnsi="Verdana"/>
          <w:sz w:val="24"/>
          <w:szCs w:val="24"/>
        </w:rPr>
        <w:t xml:space="preserve"> 1</w:t>
      </w:r>
      <w:r w:rsidRPr="007A61C1">
        <w:rPr>
          <w:rFonts w:ascii="Verdana" w:hAnsi="Verdana"/>
          <w:sz w:val="24"/>
          <w:szCs w:val="24"/>
        </w:rPr>
        <w:t xml:space="preserve"> – </w:t>
      </w:r>
      <w:r w:rsidR="00AB5521">
        <w:rPr>
          <w:rFonts w:ascii="Verdana" w:hAnsi="Verdana"/>
          <w:sz w:val="24"/>
          <w:szCs w:val="24"/>
        </w:rPr>
        <w:t>Adriana del Pilar Noguera Torres</w:t>
      </w:r>
    </w:p>
    <w:p w14:paraId="0FB1E760" w14:textId="1B71164B" w:rsidR="007A61C1" w:rsidRDefault="00AB5521" w:rsidP="007A61C1">
      <w:pPr>
        <w:spacing w:after="0" w:line="240" w:lineRule="auto"/>
        <w:rPr>
          <w:rFonts w:ascii="Verdana" w:hAnsi="Verdana"/>
          <w:sz w:val="24"/>
          <w:szCs w:val="24"/>
        </w:rPr>
      </w:pPr>
      <w:r>
        <w:rPr>
          <w:rFonts w:ascii="Verdana" w:hAnsi="Verdana"/>
          <w:sz w:val="24"/>
          <w:szCs w:val="24"/>
        </w:rPr>
        <w:t xml:space="preserve">Ingeniera Electrónica, Especialista en Automatización Industrial, </w:t>
      </w:r>
      <w:r w:rsidRPr="00AB5521">
        <w:rPr>
          <w:rFonts w:ascii="Verdana" w:hAnsi="Verdana"/>
          <w:sz w:val="24"/>
          <w:szCs w:val="24"/>
        </w:rPr>
        <w:t>Maestría en Gestión de Tecnología de Información</w:t>
      </w:r>
      <w:r>
        <w:rPr>
          <w:rFonts w:ascii="Verdana" w:hAnsi="Verdana"/>
          <w:sz w:val="24"/>
          <w:szCs w:val="24"/>
        </w:rPr>
        <w:t>. Universidad Nacional Abierta y a Distancia UNAD</w:t>
      </w:r>
    </w:p>
    <w:p w14:paraId="37060EB0" w14:textId="045E2911" w:rsidR="007A61C1" w:rsidRDefault="007A61C1" w:rsidP="007A61C1">
      <w:pPr>
        <w:spacing w:after="0" w:line="240" w:lineRule="auto"/>
        <w:rPr>
          <w:rFonts w:ascii="Verdana" w:hAnsi="Verdana"/>
          <w:sz w:val="24"/>
          <w:szCs w:val="24"/>
        </w:rPr>
      </w:pPr>
      <w:r w:rsidRPr="007A61C1">
        <w:rPr>
          <w:rFonts w:ascii="Verdana" w:hAnsi="Verdana"/>
          <w:sz w:val="24"/>
          <w:szCs w:val="24"/>
        </w:rPr>
        <w:t>ORCID</w:t>
      </w:r>
      <w:r w:rsidR="00AB5521">
        <w:rPr>
          <w:rFonts w:ascii="Verdana" w:hAnsi="Verdana"/>
          <w:sz w:val="24"/>
          <w:szCs w:val="24"/>
        </w:rPr>
        <w:t xml:space="preserve"> </w:t>
      </w:r>
      <w:hyperlink r:id="rId7" w:history="1">
        <w:r w:rsidR="00AB5521" w:rsidRPr="00402DFC">
          <w:rPr>
            <w:rStyle w:val="Hipervnculo"/>
            <w:rFonts w:ascii="Verdana" w:hAnsi="Verdana"/>
            <w:sz w:val="24"/>
            <w:szCs w:val="24"/>
          </w:rPr>
          <w:t>https://orcid.org/0000-0002-4945-4324</w:t>
        </w:r>
      </w:hyperlink>
      <w:r w:rsidR="00AB5521">
        <w:rPr>
          <w:rFonts w:ascii="Verdana" w:hAnsi="Verdana"/>
          <w:sz w:val="24"/>
          <w:szCs w:val="24"/>
        </w:rPr>
        <w:t xml:space="preserve"> </w:t>
      </w:r>
    </w:p>
    <w:p w14:paraId="7E6E5458" w14:textId="099CAE14" w:rsidR="007A61C1" w:rsidRDefault="007A61C1" w:rsidP="007A61C1">
      <w:pPr>
        <w:spacing w:after="0" w:line="240" w:lineRule="auto"/>
        <w:rPr>
          <w:rFonts w:ascii="Verdana" w:hAnsi="Verdana"/>
          <w:sz w:val="24"/>
          <w:szCs w:val="24"/>
        </w:rPr>
      </w:pPr>
      <w:r w:rsidRPr="007A61C1">
        <w:rPr>
          <w:rFonts w:ascii="Verdana" w:hAnsi="Verdana"/>
          <w:sz w:val="24"/>
          <w:szCs w:val="24"/>
        </w:rPr>
        <w:t xml:space="preserve">email. </w:t>
      </w:r>
      <w:hyperlink r:id="rId8" w:history="1">
        <w:r w:rsidR="00AB5521" w:rsidRPr="00402DFC">
          <w:rPr>
            <w:rStyle w:val="Hipervnculo"/>
            <w:rFonts w:ascii="Verdana" w:hAnsi="Verdana"/>
            <w:sz w:val="24"/>
            <w:szCs w:val="24"/>
          </w:rPr>
          <w:t>adriana.noguera@unad.edu.co</w:t>
        </w:r>
      </w:hyperlink>
      <w:r w:rsidR="00AB5521">
        <w:rPr>
          <w:rFonts w:ascii="Verdana" w:hAnsi="Verdana"/>
          <w:sz w:val="24"/>
          <w:szCs w:val="24"/>
        </w:rPr>
        <w:t xml:space="preserve"> </w:t>
      </w:r>
    </w:p>
    <w:p w14:paraId="69A6AF13" w14:textId="77777777" w:rsidR="00800C23" w:rsidRDefault="00800C23" w:rsidP="007A61C1">
      <w:pPr>
        <w:spacing w:after="0" w:line="240" w:lineRule="auto"/>
        <w:rPr>
          <w:rFonts w:ascii="Verdana" w:hAnsi="Verdana"/>
          <w:sz w:val="24"/>
          <w:szCs w:val="24"/>
        </w:rPr>
      </w:pPr>
    </w:p>
    <w:p w14:paraId="3A975687" w14:textId="6E466A13" w:rsidR="00800C23" w:rsidRDefault="00800C23" w:rsidP="00800C23">
      <w:pPr>
        <w:spacing w:after="0" w:line="240" w:lineRule="auto"/>
        <w:rPr>
          <w:rFonts w:ascii="Verdana" w:hAnsi="Verdana"/>
          <w:sz w:val="24"/>
          <w:szCs w:val="24"/>
        </w:rPr>
      </w:pPr>
      <w:r w:rsidRPr="007A61C1">
        <w:rPr>
          <w:rFonts w:ascii="Verdana" w:hAnsi="Verdana"/>
          <w:sz w:val="24"/>
          <w:szCs w:val="24"/>
        </w:rPr>
        <w:t>Autor</w:t>
      </w:r>
      <w:r>
        <w:rPr>
          <w:rFonts w:ascii="Verdana" w:hAnsi="Verdana"/>
          <w:sz w:val="24"/>
          <w:szCs w:val="24"/>
        </w:rPr>
        <w:t xml:space="preserve"> 2</w:t>
      </w:r>
      <w:r w:rsidRPr="007A61C1">
        <w:rPr>
          <w:rFonts w:ascii="Verdana" w:hAnsi="Verdana"/>
          <w:sz w:val="24"/>
          <w:szCs w:val="24"/>
        </w:rPr>
        <w:t xml:space="preserve"> – </w:t>
      </w:r>
      <w:r w:rsidR="00AB5521">
        <w:rPr>
          <w:rFonts w:ascii="Verdana" w:hAnsi="Verdana"/>
          <w:sz w:val="24"/>
          <w:szCs w:val="24"/>
        </w:rPr>
        <w:t>Andrea Isabel Barrera Siabato</w:t>
      </w:r>
    </w:p>
    <w:p w14:paraId="2890808D" w14:textId="77777777" w:rsidR="00AB5521" w:rsidRDefault="00AB5521" w:rsidP="00AB5521">
      <w:pPr>
        <w:spacing w:after="0" w:line="240" w:lineRule="auto"/>
        <w:rPr>
          <w:rFonts w:ascii="Verdana" w:hAnsi="Verdana"/>
          <w:sz w:val="24"/>
          <w:szCs w:val="24"/>
        </w:rPr>
      </w:pPr>
      <w:r>
        <w:rPr>
          <w:rFonts w:ascii="Verdana" w:hAnsi="Verdana"/>
          <w:sz w:val="24"/>
          <w:szCs w:val="24"/>
        </w:rPr>
        <w:t>Ingeniera Industrial, Especialista en Salud Ocupacional y Prevención de Riesgos Laborales, Magíster en Dirección y Administración de Empresas. Universidad Nacional Abierta y a Distancia UNAD</w:t>
      </w:r>
    </w:p>
    <w:p w14:paraId="41763C90" w14:textId="46A11CF5" w:rsidR="00800C23" w:rsidRDefault="00800C23" w:rsidP="00800C23">
      <w:pPr>
        <w:spacing w:after="0" w:line="240" w:lineRule="auto"/>
        <w:rPr>
          <w:rFonts w:ascii="Verdana" w:hAnsi="Verdana"/>
          <w:sz w:val="24"/>
          <w:szCs w:val="24"/>
        </w:rPr>
      </w:pPr>
      <w:r w:rsidRPr="007A61C1">
        <w:rPr>
          <w:rFonts w:ascii="Verdana" w:hAnsi="Verdana"/>
          <w:sz w:val="24"/>
          <w:szCs w:val="24"/>
        </w:rPr>
        <w:t>ORCID</w:t>
      </w:r>
      <w:r w:rsidR="00AB5521">
        <w:rPr>
          <w:rFonts w:ascii="Verdana" w:hAnsi="Verdana"/>
          <w:sz w:val="24"/>
          <w:szCs w:val="24"/>
        </w:rPr>
        <w:t xml:space="preserve"> </w:t>
      </w:r>
      <w:hyperlink r:id="rId9" w:history="1">
        <w:r w:rsidR="00AB5521" w:rsidRPr="00402DFC">
          <w:rPr>
            <w:rStyle w:val="Hipervnculo"/>
            <w:rFonts w:ascii="Verdana" w:hAnsi="Verdana"/>
            <w:sz w:val="24"/>
            <w:szCs w:val="24"/>
          </w:rPr>
          <w:t>https://orcid.org/0000-0003-2313-2471</w:t>
        </w:r>
      </w:hyperlink>
      <w:r w:rsidR="00AB5521">
        <w:rPr>
          <w:rFonts w:ascii="Verdana" w:hAnsi="Verdana"/>
          <w:sz w:val="24"/>
          <w:szCs w:val="24"/>
        </w:rPr>
        <w:t xml:space="preserve"> </w:t>
      </w:r>
    </w:p>
    <w:p w14:paraId="6FFE35BA" w14:textId="63496B75" w:rsidR="00800C23" w:rsidRDefault="00800C23" w:rsidP="00800C23">
      <w:pPr>
        <w:spacing w:after="0" w:line="240" w:lineRule="auto"/>
        <w:rPr>
          <w:rFonts w:ascii="Verdana" w:hAnsi="Verdana"/>
          <w:sz w:val="24"/>
          <w:szCs w:val="24"/>
        </w:rPr>
      </w:pPr>
      <w:r w:rsidRPr="007A61C1">
        <w:rPr>
          <w:rFonts w:ascii="Verdana" w:hAnsi="Verdana"/>
          <w:sz w:val="24"/>
          <w:szCs w:val="24"/>
        </w:rPr>
        <w:t xml:space="preserve">email. </w:t>
      </w:r>
      <w:hyperlink r:id="rId10" w:history="1">
        <w:r w:rsidR="00AB5521" w:rsidRPr="00402DFC">
          <w:rPr>
            <w:rStyle w:val="Hipervnculo"/>
            <w:rFonts w:ascii="Verdana" w:hAnsi="Verdana"/>
            <w:sz w:val="24"/>
            <w:szCs w:val="24"/>
          </w:rPr>
          <w:t>andreai.barrera@unad.edu.co</w:t>
        </w:r>
      </w:hyperlink>
      <w:r w:rsidR="00AB5521">
        <w:rPr>
          <w:rFonts w:ascii="Verdana" w:hAnsi="Verdana"/>
          <w:sz w:val="24"/>
          <w:szCs w:val="24"/>
        </w:rPr>
        <w:t xml:space="preserve"> </w:t>
      </w:r>
    </w:p>
    <w:p w14:paraId="06602379" w14:textId="77777777" w:rsidR="007A61C1" w:rsidRDefault="007A61C1" w:rsidP="007A61C1">
      <w:pPr>
        <w:rPr>
          <w:rFonts w:ascii="Verdana" w:hAnsi="Verdana"/>
          <w:sz w:val="24"/>
          <w:szCs w:val="24"/>
        </w:rPr>
      </w:pPr>
    </w:p>
    <w:p w14:paraId="43B87E68" w14:textId="7A361B1C" w:rsidR="00AB5521" w:rsidRDefault="00AB5521" w:rsidP="00AB5521">
      <w:pPr>
        <w:spacing w:after="0" w:line="240" w:lineRule="auto"/>
        <w:rPr>
          <w:rFonts w:ascii="Verdana" w:hAnsi="Verdana"/>
          <w:sz w:val="24"/>
          <w:szCs w:val="24"/>
        </w:rPr>
      </w:pPr>
      <w:r w:rsidRPr="007A61C1">
        <w:rPr>
          <w:rFonts w:ascii="Verdana" w:hAnsi="Verdana"/>
          <w:sz w:val="24"/>
          <w:szCs w:val="24"/>
        </w:rPr>
        <w:t>Autor</w:t>
      </w:r>
      <w:r>
        <w:rPr>
          <w:rFonts w:ascii="Verdana" w:hAnsi="Verdana"/>
          <w:sz w:val="24"/>
          <w:szCs w:val="24"/>
        </w:rPr>
        <w:t xml:space="preserve"> </w:t>
      </w:r>
      <w:r w:rsidR="00EF03FC">
        <w:rPr>
          <w:rFonts w:ascii="Verdana" w:hAnsi="Verdana"/>
          <w:sz w:val="24"/>
          <w:szCs w:val="24"/>
        </w:rPr>
        <w:t>3</w:t>
      </w:r>
      <w:r w:rsidRPr="007A61C1">
        <w:rPr>
          <w:rFonts w:ascii="Verdana" w:hAnsi="Verdana"/>
          <w:sz w:val="24"/>
          <w:szCs w:val="24"/>
        </w:rPr>
        <w:t xml:space="preserve"> – </w:t>
      </w:r>
      <w:r>
        <w:rPr>
          <w:rFonts w:ascii="Verdana" w:hAnsi="Verdana"/>
          <w:sz w:val="24"/>
          <w:szCs w:val="24"/>
        </w:rPr>
        <w:t>Nelson Vargas Tejedor</w:t>
      </w:r>
    </w:p>
    <w:p w14:paraId="210ADFAA" w14:textId="4B097D37" w:rsidR="00AB5521" w:rsidRDefault="00AB5521" w:rsidP="00AB5521">
      <w:pPr>
        <w:spacing w:after="0" w:line="240" w:lineRule="auto"/>
        <w:rPr>
          <w:rFonts w:ascii="Verdana" w:hAnsi="Verdana"/>
          <w:sz w:val="24"/>
          <w:szCs w:val="24"/>
        </w:rPr>
      </w:pPr>
      <w:r>
        <w:rPr>
          <w:rFonts w:ascii="Verdana" w:hAnsi="Verdana"/>
          <w:sz w:val="24"/>
          <w:szCs w:val="24"/>
        </w:rPr>
        <w:t>Ingenier</w:t>
      </w:r>
      <w:r w:rsidR="00C90EF9">
        <w:rPr>
          <w:rFonts w:ascii="Verdana" w:hAnsi="Verdana"/>
          <w:sz w:val="24"/>
          <w:szCs w:val="24"/>
        </w:rPr>
        <w:t>o</w:t>
      </w:r>
      <w:r>
        <w:rPr>
          <w:rFonts w:ascii="Verdana" w:hAnsi="Verdana"/>
          <w:sz w:val="24"/>
          <w:szCs w:val="24"/>
        </w:rPr>
        <w:t xml:space="preserve"> Industrial, Especialista en Salud Ocupacional y Prevención de Riesgos Laborales, Maestrante Gerencia de Proyectos. Universidad Nacional Abierta y a Distancia UNAD</w:t>
      </w:r>
    </w:p>
    <w:p w14:paraId="0FBCE779" w14:textId="259EFDC2" w:rsidR="00AB5521" w:rsidRDefault="00AB5521" w:rsidP="00AB5521">
      <w:pPr>
        <w:spacing w:after="0" w:line="240" w:lineRule="auto"/>
        <w:rPr>
          <w:rFonts w:ascii="Verdana" w:hAnsi="Verdana"/>
          <w:sz w:val="24"/>
          <w:szCs w:val="24"/>
        </w:rPr>
      </w:pPr>
      <w:r w:rsidRPr="007A61C1">
        <w:rPr>
          <w:rFonts w:ascii="Verdana" w:hAnsi="Verdana"/>
          <w:sz w:val="24"/>
          <w:szCs w:val="24"/>
        </w:rPr>
        <w:t>ORCID</w:t>
      </w:r>
      <w:r>
        <w:rPr>
          <w:rFonts w:ascii="Verdana" w:hAnsi="Verdana"/>
          <w:sz w:val="24"/>
          <w:szCs w:val="24"/>
        </w:rPr>
        <w:t xml:space="preserve"> </w:t>
      </w:r>
      <w:hyperlink r:id="rId11" w:history="1">
        <w:r w:rsidRPr="00402DFC">
          <w:rPr>
            <w:rStyle w:val="Hipervnculo"/>
            <w:rFonts w:ascii="Verdana" w:hAnsi="Verdana"/>
            <w:sz w:val="24"/>
            <w:szCs w:val="24"/>
          </w:rPr>
          <w:t>https://orcid.org/0000-0002-3694-720X</w:t>
        </w:r>
      </w:hyperlink>
      <w:r>
        <w:rPr>
          <w:rFonts w:ascii="Verdana" w:hAnsi="Verdana"/>
          <w:sz w:val="24"/>
          <w:szCs w:val="24"/>
        </w:rPr>
        <w:t xml:space="preserve"> </w:t>
      </w:r>
    </w:p>
    <w:p w14:paraId="5D08BA96" w14:textId="59F8E309" w:rsidR="00AB5521" w:rsidRDefault="00AB5521" w:rsidP="00AB5521">
      <w:pPr>
        <w:spacing w:after="0" w:line="240" w:lineRule="auto"/>
        <w:rPr>
          <w:rFonts w:ascii="Verdana" w:hAnsi="Verdana"/>
          <w:sz w:val="24"/>
          <w:szCs w:val="24"/>
        </w:rPr>
      </w:pPr>
      <w:r w:rsidRPr="007A61C1">
        <w:rPr>
          <w:rFonts w:ascii="Verdana" w:hAnsi="Verdana"/>
          <w:sz w:val="24"/>
          <w:szCs w:val="24"/>
        </w:rPr>
        <w:t xml:space="preserve">email. </w:t>
      </w:r>
      <w:hyperlink r:id="rId12" w:history="1">
        <w:r w:rsidRPr="00402DFC">
          <w:rPr>
            <w:rStyle w:val="Hipervnculo"/>
            <w:rFonts w:ascii="Verdana" w:hAnsi="Verdana"/>
            <w:sz w:val="24"/>
            <w:szCs w:val="24"/>
          </w:rPr>
          <w:t>nelson.vargas@unad.edu.co</w:t>
        </w:r>
      </w:hyperlink>
      <w:r>
        <w:rPr>
          <w:rFonts w:ascii="Verdana" w:hAnsi="Verdana"/>
          <w:sz w:val="24"/>
          <w:szCs w:val="24"/>
        </w:rPr>
        <w:t xml:space="preserve"> </w:t>
      </w:r>
    </w:p>
    <w:p w14:paraId="1F52BA0E" w14:textId="77777777" w:rsidR="00AB5521" w:rsidRDefault="00AB5521" w:rsidP="007A61C1">
      <w:pPr>
        <w:rPr>
          <w:rFonts w:ascii="Verdana" w:hAnsi="Verdana"/>
          <w:sz w:val="24"/>
          <w:szCs w:val="24"/>
        </w:rPr>
      </w:pPr>
    </w:p>
    <w:p w14:paraId="4AB3312F" w14:textId="01236777" w:rsidR="001535EA" w:rsidRDefault="001535EA" w:rsidP="001535EA">
      <w:pPr>
        <w:spacing w:after="0" w:line="240" w:lineRule="auto"/>
        <w:rPr>
          <w:rFonts w:ascii="Verdana" w:hAnsi="Verdana"/>
          <w:sz w:val="24"/>
          <w:szCs w:val="24"/>
        </w:rPr>
      </w:pPr>
      <w:r w:rsidRPr="007A61C1">
        <w:rPr>
          <w:rFonts w:ascii="Verdana" w:hAnsi="Verdana"/>
          <w:sz w:val="24"/>
          <w:szCs w:val="24"/>
        </w:rPr>
        <w:t>Autor</w:t>
      </w:r>
      <w:r>
        <w:rPr>
          <w:rFonts w:ascii="Verdana" w:hAnsi="Verdana"/>
          <w:sz w:val="24"/>
          <w:szCs w:val="24"/>
        </w:rPr>
        <w:t xml:space="preserve"> 4</w:t>
      </w:r>
      <w:r w:rsidRPr="007A61C1">
        <w:rPr>
          <w:rFonts w:ascii="Verdana" w:hAnsi="Verdana"/>
          <w:sz w:val="24"/>
          <w:szCs w:val="24"/>
        </w:rPr>
        <w:t xml:space="preserve"> – </w:t>
      </w:r>
      <w:r>
        <w:rPr>
          <w:rFonts w:ascii="Verdana" w:hAnsi="Verdana"/>
          <w:sz w:val="24"/>
          <w:szCs w:val="24"/>
        </w:rPr>
        <w:t xml:space="preserve">Luis Daniel Alarcón </w:t>
      </w:r>
      <w:r w:rsidR="00D209AB">
        <w:rPr>
          <w:rFonts w:ascii="Verdana" w:hAnsi="Verdana"/>
          <w:sz w:val="24"/>
          <w:szCs w:val="24"/>
        </w:rPr>
        <w:t>Cañizalez</w:t>
      </w:r>
    </w:p>
    <w:p w14:paraId="0051CA32" w14:textId="413303D1" w:rsidR="00D209AB" w:rsidRDefault="00D209AB" w:rsidP="001535EA">
      <w:pPr>
        <w:spacing w:after="0" w:line="240" w:lineRule="auto"/>
        <w:rPr>
          <w:rFonts w:ascii="Verdana" w:hAnsi="Verdana"/>
          <w:sz w:val="24"/>
          <w:szCs w:val="24"/>
        </w:rPr>
      </w:pPr>
      <w:r>
        <w:rPr>
          <w:rFonts w:ascii="Verdana" w:hAnsi="Verdana"/>
          <w:sz w:val="24"/>
          <w:szCs w:val="24"/>
        </w:rPr>
        <w:t>Estudiante de Ingeniería Electrónica. Universidad Nacional Abierta y a Distancia UNAD</w:t>
      </w:r>
    </w:p>
    <w:p w14:paraId="67BE1D0E" w14:textId="655E54C8" w:rsidR="001535EA" w:rsidRDefault="001535EA" w:rsidP="001535EA">
      <w:pPr>
        <w:spacing w:after="0" w:line="240" w:lineRule="auto"/>
        <w:rPr>
          <w:rFonts w:ascii="Verdana" w:hAnsi="Verdana"/>
          <w:sz w:val="24"/>
          <w:szCs w:val="24"/>
        </w:rPr>
      </w:pPr>
      <w:r w:rsidRPr="007A61C1">
        <w:rPr>
          <w:rFonts w:ascii="Verdana" w:hAnsi="Verdana"/>
          <w:sz w:val="24"/>
          <w:szCs w:val="24"/>
        </w:rPr>
        <w:t>ORCID</w:t>
      </w:r>
      <w:r>
        <w:rPr>
          <w:rFonts w:ascii="Verdana" w:hAnsi="Verdana"/>
          <w:sz w:val="24"/>
          <w:szCs w:val="24"/>
        </w:rPr>
        <w:t xml:space="preserve"> </w:t>
      </w:r>
      <w:hyperlink r:id="rId13" w:tgtFrame="_blank" w:tooltip="https://orcid.org/0009-0009-9458-5882" w:history="1">
        <w:r w:rsidR="00131FE0" w:rsidRPr="00131FE0">
          <w:rPr>
            <w:rStyle w:val="Hipervnculo"/>
            <w:rFonts w:ascii="Verdana" w:hAnsi="Verdana"/>
            <w:sz w:val="24"/>
            <w:szCs w:val="24"/>
          </w:rPr>
          <w:t>https://orcid.org/0009-0009-9458-5882</w:t>
        </w:r>
      </w:hyperlink>
    </w:p>
    <w:p w14:paraId="036D8FDC" w14:textId="2E82DE63" w:rsidR="001535EA" w:rsidRDefault="001535EA" w:rsidP="001535EA">
      <w:pPr>
        <w:spacing w:after="0" w:line="240" w:lineRule="auto"/>
        <w:rPr>
          <w:rFonts w:ascii="Verdana" w:hAnsi="Verdana"/>
          <w:sz w:val="24"/>
          <w:szCs w:val="24"/>
        </w:rPr>
      </w:pPr>
      <w:r w:rsidRPr="007A61C1">
        <w:rPr>
          <w:rFonts w:ascii="Verdana" w:hAnsi="Verdana"/>
          <w:sz w:val="24"/>
          <w:szCs w:val="24"/>
        </w:rPr>
        <w:t xml:space="preserve">email. </w:t>
      </w:r>
      <w:hyperlink r:id="rId14" w:history="1">
        <w:r w:rsidR="00D209AB" w:rsidRPr="00D3264C">
          <w:rPr>
            <w:rStyle w:val="Hipervnculo"/>
            <w:rFonts w:ascii="Verdana" w:hAnsi="Verdana"/>
            <w:sz w:val="24"/>
            <w:szCs w:val="24"/>
          </w:rPr>
          <w:t>ldalarconca@unadvirtual.edu.co</w:t>
        </w:r>
      </w:hyperlink>
      <w:r w:rsidR="00D209AB">
        <w:rPr>
          <w:rFonts w:ascii="Verdana" w:hAnsi="Verdana"/>
          <w:sz w:val="24"/>
          <w:szCs w:val="24"/>
        </w:rPr>
        <w:t xml:space="preserve"> </w:t>
      </w:r>
    </w:p>
    <w:p w14:paraId="4063AB66" w14:textId="77777777" w:rsidR="001535EA" w:rsidRDefault="001535EA" w:rsidP="007A61C1">
      <w:pPr>
        <w:rPr>
          <w:rFonts w:ascii="Verdana" w:hAnsi="Verdana"/>
          <w:sz w:val="24"/>
          <w:szCs w:val="24"/>
        </w:rPr>
      </w:pPr>
    </w:p>
    <w:p w14:paraId="313D9906" w14:textId="77777777" w:rsidR="007A61C1" w:rsidRPr="007A61C1" w:rsidRDefault="007A61C1" w:rsidP="007A61C1">
      <w:pPr>
        <w:rPr>
          <w:rFonts w:ascii="Verdana" w:hAnsi="Verdana"/>
          <w:b/>
          <w:sz w:val="24"/>
          <w:szCs w:val="24"/>
        </w:rPr>
      </w:pPr>
      <w:r w:rsidRPr="007A61C1">
        <w:rPr>
          <w:rFonts w:ascii="Verdana" w:hAnsi="Verdana"/>
          <w:b/>
          <w:sz w:val="24"/>
          <w:szCs w:val="24"/>
        </w:rPr>
        <w:t>RESUMEN.</w:t>
      </w:r>
    </w:p>
    <w:p w14:paraId="20D9741C" w14:textId="2DD1FB76" w:rsidR="00371BE2" w:rsidRDefault="00AD4B3D" w:rsidP="00DA12C7">
      <w:pPr>
        <w:ind w:firstLine="708"/>
        <w:jc w:val="both"/>
        <w:rPr>
          <w:rFonts w:ascii="Verdana" w:hAnsi="Verdana"/>
          <w:sz w:val="24"/>
          <w:szCs w:val="24"/>
        </w:rPr>
      </w:pPr>
      <w:r>
        <w:rPr>
          <w:rFonts w:ascii="Verdana" w:hAnsi="Verdana"/>
          <w:sz w:val="24"/>
          <w:szCs w:val="24"/>
        </w:rPr>
        <w:t xml:space="preserve">El cambio </w:t>
      </w:r>
      <w:r w:rsidR="00550640">
        <w:rPr>
          <w:rFonts w:ascii="Verdana" w:hAnsi="Verdana"/>
          <w:sz w:val="24"/>
          <w:szCs w:val="24"/>
        </w:rPr>
        <w:t>climático, requiere tanto estrategias como procesos</w:t>
      </w:r>
      <w:r w:rsidR="006779DA">
        <w:rPr>
          <w:rFonts w:ascii="Verdana" w:hAnsi="Verdana"/>
          <w:sz w:val="24"/>
          <w:szCs w:val="24"/>
        </w:rPr>
        <w:t xml:space="preserve"> robustos que </w:t>
      </w:r>
      <w:r w:rsidR="003C1EAF">
        <w:rPr>
          <w:rFonts w:ascii="Verdana" w:hAnsi="Verdana"/>
          <w:sz w:val="24"/>
          <w:szCs w:val="24"/>
        </w:rPr>
        <w:t>identifiquen</w:t>
      </w:r>
      <w:r w:rsidR="002D1608">
        <w:rPr>
          <w:rFonts w:ascii="Verdana" w:hAnsi="Verdana"/>
          <w:sz w:val="24"/>
          <w:szCs w:val="24"/>
        </w:rPr>
        <w:t xml:space="preserve"> la ruta y transformen</w:t>
      </w:r>
      <w:r w:rsidR="006779DA">
        <w:rPr>
          <w:rFonts w:ascii="Verdana" w:hAnsi="Verdana"/>
          <w:sz w:val="24"/>
          <w:szCs w:val="24"/>
        </w:rPr>
        <w:t xml:space="preserve"> los sistemas energéticos actuales</w:t>
      </w:r>
      <w:r w:rsidR="002D1608">
        <w:rPr>
          <w:rFonts w:ascii="Verdana" w:hAnsi="Verdana"/>
          <w:sz w:val="24"/>
          <w:szCs w:val="24"/>
        </w:rPr>
        <w:t xml:space="preserve">, hacia fuentes sostenibles </w:t>
      </w:r>
      <w:r w:rsidR="00ED6501">
        <w:rPr>
          <w:rFonts w:ascii="Verdana" w:hAnsi="Verdana"/>
          <w:sz w:val="24"/>
          <w:szCs w:val="24"/>
        </w:rPr>
        <w:t>con acceso</w:t>
      </w:r>
      <w:r w:rsidR="002D1608">
        <w:rPr>
          <w:rFonts w:ascii="Verdana" w:hAnsi="Verdana"/>
          <w:sz w:val="24"/>
          <w:szCs w:val="24"/>
        </w:rPr>
        <w:t xml:space="preserve"> </w:t>
      </w:r>
      <w:r w:rsidR="00C74710">
        <w:rPr>
          <w:rFonts w:ascii="Verdana" w:hAnsi="Verdana"/>
          <w:sz w:val="24"/>
          <w:szCs w:val="24"/>
        </w:rPr>
        <w:t>equitativo</w:t>
      </w:r>
      <w:r w:rsidR="00B45EF8">
        <w:rPr>
          <w:rFonts w:ascii="Verdana" w:hAnsi="Verdana"/>
          <w:sz w:val="24"/>
          <w:szCs w:val="24"/>
        </w:rPr>
        <w:t xml:space="preserve">, </w:t>
      </w:r>
      <w:r w:rsidR="00075443">
        <w:rPr>
          <w:rFonts w:ascii="Verdana" w:hAnsi="Verdana"/>
          <w:sz w:val="24"/>
          <w:szCs w:val="24"/>
        </w:rPr>
        <w:t xml:space="preserve">concatenado con metas </w:t>
      </w:r>
      <w:r w:rsidR="00860616">
        <w:rPr>
          <w:rFonts w:ascii="Verdana" w:hAnsi="Verdana"/>
          <w:sz w:val="24"/>
          <w:szCs w:val="24"/>
        </w:rPr>
        <w:t xml:space="preserve">climáticas globales, de inclusión y justicia social. Colombia particularmente </w:t>
      </w:r>
      <w:r w:rsidR="000C3EBE">
        <w:rPr>
          <w:rFonts w:ascii="Verdana" w:hAnsi="Verdana"/>
          <w:sz w:val="24"/>
          <w:szCs w:val="24"/>
        </w:rPr>
        <w:t xml:space="preserve">enfrenta el desafío </w:t>
      </w:r>
      <w:r w:rsidR="00E91717">
        <w:rPr>
          <w:rFonts w:ascii="Verdana" w:hAnsi="Verdana"/>
          <w:sz w:val="24"/>
          <w:szCs w:val="24"/>
        </w:rPr>
        <w:t xml:space="preserve">de reducir de manera progresiva la dependencia hacia </w:t>
      </w:r>
      <w:r w:rsidR="00C678E0">
        <w:rPr>
          <w:rFonts w:ascii="Verdana" w:hAnsi="Verdana"/>
          <w:sz w:val="24"/>
          <w:szCs w:val="24"/>
        </w:rPr>
        <w:t>combustibles</w:t>
      </w:r>
      <w:r w:rsidR="00E91717">
        <w:rPr>
          <w:rFonts w:ascii="Verdana" w:hAnsi="Verdana"/>
          <w:sz w:val="24"/>
          <w:szCs w:val="24"/>
        </w:rPr>
        <w:t xml:space="preserve"> fósiles </w:t>
      </w:r>
      <w:r w:rsidR="005F4F74">
        <w:rPr>
          <w:rFonts w:ascii="Verdana" w:hAnsi="Verdana"/>
          <w:sz w:val="24"/>
          <w:szCs w:val="24"/>
        </w:rPr>
        <w:t xml:space="preserve">con el fin de vislumbrar </w:t>
      </w:r>
      <w:r w:rsidR="00233DD7">
        <w:rPr>
          <w:rFonts w:ascii="Verdana" w:hAnsi="Verdana"/>
          <w:sz w:val="24"/>
          <w:szCs w:val="24"/>
        </w:rPr>
        <w:t xml:space="preserve">una </w:t>
      </w:r>
      <w:r w:rsidR="00C678E0">
        <w:rPr>
          <w:rFonts w:ascii="Verdana" w:hAnsi="Verdana"/>
          <w:sz w:val="24"/>
          <w:szCs w:val="24"/>
        </w:rPr>
        <w:lastRenderedPageBreak/>
        <w:t>generación renovable</w:t>
      </w:r>
      <w:r w:rsidR="006779DA">
        <w:rPr>
          <w:rFonts w:ascii="Verdana" w:hAnsi="Verdana"/>
          <w:sz w:val="24"/>
          <w:szCs w:val="24"/>
        </w:rPr>
        <w:t xml:space="preserve"> </w:t>
      </w:r>
      <w:r w:rsidR="0056592A">
        <w:rPr>
          <w:rFonts w:ascii="Verdana" w:hAnsi="Verdana"/>
          <w:sz w:val="24"/>
          <w:szCs w:val="24"/>
        </w:rPr>
        <w:t xml:space="preserve">que </w:t>
      </w:r>
      <w:r w:rsidR="0090604D">
        <w:rPr>
          <w:rFonts w:ascii="Verdana" w:hAnsi="Verdana"/>
          <w:sz w:val="24"/>
          <w:szCs w:val="24"/>
        </w:rPr>
        <w:t>posibilit</w:t>
      </w:r>
      <w:r w:rsidR="0056592A">
        <w:rPr>
          <w:rFonts w:ascii="Verdana" w:hAnsi="Verdana"/>
          <w:sz w:val="24"/>
          <w:szCs w:val="24"/>
        </w:rPr>
        <w:t>e</w:t>
      </w:r>
      <w:r w:rsidR="00252531">
        <w:rPr>
          <w:rFonts w:ascii="Verdana" w:hAnsi="Verdana"/>
          <w:sz w:val="24"/>
          <w:szCs w:val="24"/>
        </w:rPr>
        <w:t xml:space="preserve"> una matriz energética más limpia y diversificada</w:t>
      </w:r>
      <w:r w:rsidR="00362F31">
        <w:rPr>
          <w:rFonts w:ascii="Verdana" w:hAnsi="Verdana"/>
          <w:sz w:val="24"/>
          <w:szCs w:val="24"/>
        </w:rPr>
        <w:t xml:space="preserve"> pensándose</w:t>
      </w:r>
      <w:r w:rsidR="00BE6FF5">
        <w:rPr>
          <w:rFonts w:ascii="Verdana" w:hAnsi="Verdana"/>
          <w:sz w:val="24"/>
          <w:szCs w:val="24"/>
        </w:rPr>
        <w:t xml:space="preserve"> así la transición energética justa desde </w:t>
      </w:r>
      <w:r w:rsidR="00362F31">
        <w:rPr>
          <w:rFonts w:ascii="Verdana" w:hAnsi="Verdana"/>
          <w:sz w:val="24"/>
          <w:szCs w:val="24"/>
        </w:rPr>
        <w:t>ejes fundamentales como</w:t>
      </w:r>
      <w:r w:rsidR="00BE6FF5">
        <w:rPr>
          <w:rFonts w:ascii="Verdana" w:hAnsi="Verdana"/>
          <w:sz w:val="24"/>
          <w:szCs w:val="24"/>
        </w:rPr>
        <w:t xml:space="preserve"> la </w:t>
      </w:r>
      <w:r w:rsidR="00362F31">
        <w:rPr>
          <w:rFonts w:ascii="Verdana" w:hAnsi="Verdana"/>
          <w:sz w:val="24"/>
          <w:szCs w:val="24"/>
        </w:rPr>
        <w:t xml:space="preserve">sustitución </w:t>
      </w:r>
      <w:r w:rsidR="00A245CB">
        <w:rPr>
          <w:rFonts w:ascii="Verdana" w:hAnsi="Verdana"/>
          <w:sz w:val="24"/>
          <w:szCs w:val="24"/>
        </w:rPr>
        <w:t xml:space="preserve">gradual de combustibles, </w:t>
      </w:r>
      <w:r w:rsidR="00D50782">
        <w:rPr>
          <w:rFonts w:ascii="Verdana" w:hAnsi="Verdana"/>
          <w:sz w:val="24"/>
          <w:szCs w:val="24"/>
        </w:rPr>
        <w:t xml:space="preserve">inversión en energías limpias, </w:t>
      </w:r>
      <w:r w:rsidR="00A245CB">
        <w:rPr>
          <w:rFonts w:ascii="Verdana" w:hAnsi="Verdana"/>
          <w:sz w:val="24"/>
          <w:szCs w:val="24"/>
        </w:rPr>
        <w:t>eficiencia energética, aspectos regulatorios</w:t>
      </w:r>
      <w:r w:rsidR="00D50782">
        <w:rPr>
          <w:rFonts w:ascii="Verdana" w:hAnsi="Verdana"/>
          <w:sz w:val="24"/>
          <w:szCs w:val="24"/>
        </w:rPr>
        <w:t xml:space="preserve"> y reindustrialización de la economía</w:t>
      </w:r>
      <w:r w:rsidR="00750E06">
        <w:rPr>
          <w:rFonts w:ascii="Verdana" w:hAnsi="Verdana"/>
          <w:sz w:val="24"/>
          <w:szCs w:val="24"/>
        </w:rPr>
        <w:t xml:space="preserve">. </w:t>
      </w:r>
      <w:r w:rsidR="00CB7322">
        <w:rPr>
          <w:rFonts w:ascii="Verdana" w:hAnsi="Verdana"/>
          <w:sz w:val="24"/>
          <w:szCs w:val="24"/>
        </w:rPr>
        <w:t xml:space="preserve">Estos elementos </w:t>
      </w:r>
      <w:r w:rsidR="00A73112">
        <w:rPr>
          <w:rFonts w:ascii="Verdana" w:hAnsi="Verdana"/>
          <w:sz w:val="24"/>
          <w:szCs w:val="24"/>
        </w:rPr>
        <w:t xml:space="preserve">como </w:t>
      </w:r>
      <w:r w:rsidR="00E15384">
        <w:rPr>
          <w:rFonts w:ascii="Verdana" w:hAnsi="Verdana"/>
          <w:sz w:val="24"/>
          <w:szCs w:val="24"/>
        </w:rPr>
        <w:t>línea base</w:t>
      </w:r>
      <w:r w:rsidR="00FA368E">
        <w:rPr>
          <w:rFonts w:ascii="Verdana" w:hAnsi="Verdana"/>
          <w:sz w:val="24"/>
          <w:szCs w:val="24"/>
        </w:rPr>
        <w:t xml:space="preserve"> vienen evolucionando y en apropiación progresiva</w:t>
      </w:r>
      <w:r w:rsidR="00BD228B">
        <w:rPr>
          <w:rFonts w:ascii="Verdana" w:hAnsi="Verdana"/>
          <w:sz w:val="24"/>
          <w:szCs w:val="24"/>
        </w:rPr>
        <w:t xml:space="preserve">, sin embargo, </w:t>
      </w:r>
      <w:r w:rsidR="0075503C">
        <w:rPr>
          <w:rFonts w:ascii="Verdana" w:hAnsi="Verdana"/>
          <w:sz w:val="24"/>
          <w:szCs w:val="24"/>
        </w:rPr>
        <w:t>aún</w:t>
      </w:r>
      <w:r w:rsidR="00BD228B">
        <w:rPr>
          <w:rFonts w:ascii="Verdana" w:hAnsi="Verdana"/>
          <w:sz w:val="24"/>
          <w:szCs w:val="24"/>
        </w:rPr>
        <w:t xml:space="preserve"> no son </w:t>
      </w:r>
      <w:r w:rsidR="0075503C">
        <w:rPr>
          <w:rFonts w:ascii="Verdana" w:hAnsi="Verdana"/>
          <w:sz w:val="24"/>
          <w:szCs w:val="24"/>
        </w:rPr>
        <w:t xml:space="preserve">abordados desde las necesidades y potencialidades del </w:t>
      </w:r>
      <w:r w:rsidR="00E47A7E">
        <w:rPr>
          <w:rFonts w:ascii="Verdana" w:hAnsi="Verdana"/>
          <w:sz w:val="24"/>
          <w:szCs w:val="24"/>
        </w:rPr>
        <w:t>contex</w:t>
      </w:r>
      <w:r w:rsidR="00CE3012">
        <w:rPr>
          <w:rFonts w:ascii="Verdana" w:hAnsi="Verdana"/>
          <w:sz w:val="24"/>
          <w:szCs w:val="24"/>
        </w:rPr>
        <w:t xml:space="preserve">to en especial </w:t>
      </w:r>
      <w:r w:rsidR="00D46D42">
        <w:rPr>
          <w:rFonts w:ascii="Verdana" w:hAnsi="Verdana"/>
          <w:sz w:val="24"/>
          <w:szCs w:val="24"/>
        </w:rPr>
        <w:t>en zonas rurales</w:t>
      </w:r>
      <w:r w:rsidR="00371BE2">
        <w:rPr>
          <w:rFonts w:ascii="Verdana" w:hAnsi="Verdana"/>
          <w:sz w:val="24"/>
          <w:szCs w:val="24"/>
        </w:rPr>
        <w:t xml:space="preserve">. Aunque se han diseñado programas de formación </w:t>
      </w:r>
      <w:r w:rsidR="001548EA">
        <w:rPr>
          <w:rFonts w:ascii="Verdana" w:hAnsi="Verdana"/>
          <w:sz w:val="24"/>
          <w:szCs w:val="24"/>
        </w:rPr>
        <w:t>en comunidades energéticas para facilitar la gestión local de energía renovable</w:t>
      </w:r>
      <w:r w:rsidR="00EC3342">
        <w:rPr>
          <w:rFonts w:ascii="Verdana" w:hAnsi="Verdana"/>
          <w:sz w:val="24"/>
          <w:szCs w:val="24"/>
        </w:rPr>
        <w:t xml:space="preserve"> estos </w:t>
      </w:r>
      <w:r w:rsidR="00916650">
        <w:rPr>
          <w:rFonts w:ascii="Verdana" w:hAnsi="Verdana"/>
          <w:sz w:val="24"/>
          <w:szCs w:val="24"/>
        </w:rPr>
        <w:t xml:space="preserve">no se encuentran del todo </w:t>
      </w:r>
      <w:r w:rsidR="0003262B">
        <w:rPr>
          <w:rFonts w:ascii="Verdana" w:hAnsi="Verdana"/>
          <w:sz w:val="24"/>
          <w:szCs w:val="24"/>
        </w:rPr>
        <w:t xml:space="preserve">articulados con el </w:t>
      </w:r>
      <w:r w:rsidR="00517921">
        <w:rPr>
          <w:rFonts w:ascii="Verdana" w:hAnsi="Verdana"/>
          <w:sz w:val="24"/>
          <w:szCs w:val="24"/>
        </w:rPr>
        <w:t>territorio y micro territorio</w:t>
      </w:r>
      <w:r w:rsidR="002C6FCA">
        <w:rPr>
          <w:rFonts w:ascii="Verdana" w:hAnsi="Verdana"/>
          <w:sz w:val="24"/>
          <w:szCs w:val="24"/>
        </w:rPr>
        <w:t>, lo cual exige ampliar las estrategias de participación</w:t>
      </w:r>
      <w:r w:rsidR="0057241A">
        <w:rPr>
          <w:rFonts w:ascii="Verdana" w:hAnsi="Verdana"/>
          <w:sz w:val="24"/>
          <w:szCs w:val="24"/>
        </w:rPr>
        <w:t>, interacción</w:t>
      </w:r>
      <w:r w:rsidR="002C6FCA">
        <w:rPr>
          <w:rFonts w:ascii="Verdana" w:hAnsi="Verdana"/>
          <w:sz w:val="24"/>
          <w:szCs w:val="24"/>
        </w:rPr>
        <w:t xml:space="preserve"> y vinculación</w:t>
      </w:r>
      <w:r w:rsidR="00F83DC0">
        <w:rPr>
          <w:rFonts w:ascii="Verdana" w:hAnsi="Verdana"/>
          <w:sz w:val="24"/>
          <w:szCs w:val="24"/>
        </w:rPr>
        <w:t xml:space="preserve"> de las comunidades </w:t>
      </w:r>
      <w:r w:rsidR="00220108">
        <w:rPr>
          <w:rFonts w:ascii="Verdana" w:hAnsi="Verdana"/>
          <w:sz w:val="24"/>
          <w:szCs w:val="24"/>
        </w:rPr>
        <w:t xml:space="preserve">como sujetos activos de la gestión y acción del conocimiento </w:t>
      </w:r>
      <w:r w:rsidR="00517921">
        <w:rPr>
          <w:rFonts w:ascii="Verdana" w:hAnsi="Verdana"/>
          <w:sz w:val="24"/>
          <w:szCs w:val="24"/>
        </w:rPr>
        <w:t xml:space="preserve">para el </w:t>
      </w:r>
      <w:r w:rsidR="00220108">
        <w:rPr>
          <w:rFonts w:ascii="Verdana" w:hAnsi="Verdana"/>
          <w:sz w:val="24"/>
          <w:szCs w:val="24"/>
        </w:rPr>
        <w:t>foment</w:t>
      </w:r>
      <w:r w:rsidR="00517921">
        <w:rPr>
          <w:rFonts w:ascii="Verdana" w:hAnsi="Verdana"/>
          <w:sz w:val="24"/>
          <w:szCs w:val="24"/>
        </w:rPr>
        <w:t>o</w:t>
      </w:r>
      <w:r w:rsidR="00D95128">
        <w:rPr>
          <w:rFonts w:ascii="Verdana" w:hAnsi="Verdana"/>
          <w:sz w:val="24"/>
          <w:szCs w:val="24"/>
        </w:rPr>
        <w:t xml:space="preserve"> de</w:t>
      </w:r>
      <w:r w:rsidR="00DC373F">
        <w:rPr>
          <w:rFonts w:ascii="Verdana" w:hAnsi="Verdana"/>
          <w:sz w:val="24"/>
          <w:szCs w:val="24"/>
        </w:rPr>
        <w:t xml:space="preserve"> la </w:t>
      </w:r>
      <w:r w:rsidR="007E5BDD">
        <w:rPr>
          <w:rFonts w:ascii="Verdana" w:hAnsi="Verdana"/>
          <w:sz w:val="24"/>
          <w:szCs w:val="24"/>
        </w:rPr>
        <w:t>transición</w:t>
      </w:r>
      <w:r w:rsidR="00DC373F">
        <w:rPr>
          <w:rFonts w:ascii="Verdana" w:hAnsi="Verdana"/>
          <w:sz w:val="24"/>
          <w:szCs w:val="24"/>
        </w:rPr>
        <w:t xml:space="preserve"> energética articulando saberes situados </w:t>
      </w:r>
      <w:r w:rsidR="000A00EF">
        <w:rPr>
          <w:rFonts w:ascii="Verdana" w:hAnsi="Verdana"/>
          <w:sz w:val="24"/>
          <w:szCs w:val="24"/>
        </w:rPr>
        <w:t>que logren en el corto</w:t>
      </w:r>
      <w:r w:rsidR="009B5EFA">
        <w:rPr>
          <w:rFonts w:ascii="Verdana" w:hAnsi="Verdana"/>
          <w:sz w:val="24"/>
          <w:szCs w:val="24"/>
        </w:rPr>
        <w:t xml:space="preserve"> </w:t>
      </w:r>
      <w:r w:rsidR="007E5BDD">
        <w:rPr>
          <w:rFonts w:ascii="Verdana" w:hAnsi="Verdana"/>
          <w:sz w:val="24"/>
          <w:szCs w:val="24"/>
        </w:rPr>
        <w:t xml:space="preserve">y mediano </w:t>
      </w:r>
      <w:r w:rsidR="000A00EF">
        <w:rPr>
          <w:rFonts w:ascii="Verdana" w:hAnsi="Verdana"/>
          <w:sz w:val="24"/>
          <w:szCs w:val="24"/>
        </w:rPr>
        <w:t>plazo</w:t>
      </w:r>
      <w:r w:rsidR="007C588F">
        <w:rPr>
          <w:rFonts w:ascii="Verdana" w:hAnsi="Verdana"/>
          <w:sz w:val="24"/>
          <w:szCs w:val="24"/>
        </w:rPr>
        <w:t xml:space="preserve"> la sostenibilidad ambiental.</w:t>
      </w:r>
      <w:r w:rsidR="00D95128">
        <w:rPr>
          <w:rFonts w:ascii="Verdana" w:hAnsi="Verdana"/>
          <w:sz w:val="24"/>
          <w:szCs w:val="24"/>
        </w:rPr>
        <w:t xml:space="preserve"> Est</w:t>
      </w:r>
      <w:r w:rsidR="009B5EFA">
        <w:rPr>
          <w:rFonts w:ascii="Verdana" w:hAnsi="Verdana"/>
          <w:sz w:val="24"/>
          <w:szCs w:val="24"/>
        </w:rPr>
        <w:t>a revisión bibliográfica</w:t>
      </w:r>
      <w:r w:rsidR="00D95128">
        <w:rPr>
          <w:rFonts w:ascii="Verdana" w:hAnsi="Verdana"/>
          <w:sz w:val="24"/>
          <w:szCs w:val="24"/>
        </w:rPr>
        <w:t xml:space="preserve"> </w:t>
      </w:r>
      <w:r w:rsidR="007A6516">
        <w:rPr>
          <w:rFonts w:ascii="Verdana" w:hAnsi="Verdana"/>
          <w:sz w:val="24"/>
          <w:szCs w:val="24"/>
        </w:rPr>
        <w:t xml:space="preserve">se da a partir de ecuaciones de búsqueda </w:t>
      </w:r>
      <w:r w:rsidR="00DA12C7">
        <w:rPr>
          <w:rFonts w:ascii="Verdana" w:hAnsi="Verdana"/>
          <w:sz w:val="24"/>
          <w:szCs w:val="24"/>
        </w:rPr>
        <w:t xml:space="preserve">y operadores booleanos </w:t>
      </w:r>
      <w:r w:rsidR="002E63C5" w:rsidRPr="002E63C5">
        <w:rPr>
          <w:rFonts w:ascii="Verdana" w:hAnsi="Verdana"/>
          <w:sz w:val="24"/>
          <w:szCs w:val="24"/>
        </w:rPr>
        <w:t xml:space="preserve">para revisiones sistemáticas y </w:t>
      </w:r>
      <w:r w:rsidR="00DA12C7" w:rsidRPr="002E63C5">
        <w:rPr>
          <w:rFonts w:ascii="Verdana" w:hAnsi="Verdana"/>
          <w:sz w:val="24"/>
          <w:szCs w:val="24"/>
        </w:rPr>
        <w:t>metaanálisis</w:t>
      </w:r>
      <w:r w:rsidR="002E63C5" w:rsidRPr="002E63C5">
        <w:rPr>
          <w:rFonts w:ascii="Verdana" w:hAnsi="Verdana"/>
          <w:sz w:val="24"/>
          <w:szCs w:val="24"/>
        </w:rPr>
        <w:t xml:space="preserve"> </w:t>
      </w:r>
      <w:r w:rsidR="008F7281">
        <w:rPr>
          <w:rFonts w:ascii="Verdana" w:hAnsi="Verdana"/>
          <w:sz w:val="24"/>
          <w:szCs w:val="24"/>
        </w:rPr>
        <w:t xml:space="preserve">en lo relacionado con el concepto de transición energética justa, gobernanza inclusiva, formación pedagógica contextualizada y su incidencia en los avances </w:t>
      </w:r>
      <w:r w:rsidR="00B74AA5">
        <w:rPr>
          <w:rFonts w:ascii="Verdana" w:hAnsi="Verdana"/>
          <w:sz w:val="24"/>
          <w:szCs w:val="24"/>
        </w:rPr>
        <w:t>para</w:t>
      </w:r>
      <w:r w:rsidR="008F7281">
        <w:rPr>
          <w:rFonts w:ascii="Verdana" w:hAnsi="Verdana"/>
          <w:sz w:val="24"/>
          <w:szCs w:val="24"/>
        </w:rPr>
        <w:t xml:space="preserve"> el diseño de políticas públicas,</w:t>
      </w:r>
      <w:r w:rsidR="008F0DA3">
        <w:rPr>
          <w:rFonts w:ascii="Verdana" w:hAnsi="Verdana"/>
          <w:sz w:val="24"/>
          <w:szCs w:val="24"/>
        </w:rPr>
        <w:t xml:space="preserve"> e identificación de</w:t>
      </w:r>
      <w:r w:rsidR="008F7281">
        <w:rPr>
          <w:rFonts w:ascii="Verdana" w:hAnsi="Verdana"/>
          <w:sz w:val="24"/>
          <w:szCs w:val="24"/>
        </w:rPr>
        <w:t xml:space="preserve"> experiencias comunitarias</w:t>
      </w:r>
      <w:r w:rsidR="003B3CBF">
        <w:rPr>
          <w:rFonts w:ascii="Verdana" w:hAnsi="Verdana"/>
          <w:sz w:val="24"/>
          <w:szCs w:val="24"/>
        </w:rPr>
        <w:t xml:space="preserve"> que faciliten la gestión local de energía renovable</w:t>
      </w:r>
      <w:r w:rsidR="008F0DA3">
        <w:rPr>
          <w:rFonts w:ascii="Verdana" w:hAnsi="Verdana"/>
          <w:sz w:val="24"/>
          <w:szCs w:val="24"/>
        </w:rPr>
        <w:t xml:space="preserve"> en Colombia</w:t>
      </w:r>
      <w:r w:rsidR="003B3CBF">
        <w:rPr>
          <w:rFonts w:ascii="Verdana" w:hAnsi="Verdana"/>
          <w:sz w:val="24"/>
          <w:szCs w:val="24"/>
        </w:rPr>
        <w:t>.</w:t>
      </w:r>
    </w:p>
    <w:p w14:paraId="3FDC40A8" w14:textId="77777777" w:rsidR="007A61C1" w:rsidRPr="007A61C1" w:rsidRDefault="007A61C1" w:rsidP="007A61C1">
      <w:pPr>
        <w:rPr>
          <w:rFonts w:ascii="Verdana" w:hAnsi="Verdana"/>
          <w:sz w:val="24"/>
          <w:szCs w:val="24"/>
        </w:rPr>
      </w:pPr>
    </w:p>
    <w:p w14:paraId="7FA953D4" w14:textId="77777777" w:rsidR="007A61C1" w:rsidRPr="00800C23" w:rsidRDefault="007A61C1" w:rsidP="007A61C1">
      <w:pPr>
        <w:rPr>
          <w:rFonts w:ascii="Verdana" w:hAnsi="Verdana"/>
          <w:b/>
          <w:sz w:val="24"/>
          <w:szCs w:val="24"/>
        </w:rPr>
      </w:pPr>
      <w:r w:rsidRPr="00800C23">
        <w:rPr>
          <w:rFonts w:ascii="Verdana" w:hAnsi="Verdana"/>
          <w:b/>
          <w:sz w:val="24"/>
          <w:szCs w:val="24"/>
        </w:rPr>
        <w:t>Palabras Clave.</w:t>
      </w:r>
    </w:p>
    <w:p w14:paraId="2CDD5E14" w14:textId="264B89F4" w:rsidR="00FB042F" w:rsidRDefault="00FB042F" w:rsidP="007A61C1">
      <w:pPr>
        <w:rPr>
          <w:rFonts w:ascii="Verdana" w:hAnsi="Verdana"/>
          <w:sz w:val="24"/>
          <w:szCs w:val="24"/>
        </w:rPr>
      </w:pPr>
      <w:r>
        <w:rPr>
          <w:rFonts w:ascii="Verdana" w:hAnsi="Verdana"/>
          <w:sz w:val="24"/>
          <w:szCs w:val="24"/>
        </w:rPr>
        <w:t>Energías renovables; Desarrollo sostenible; Participación comunitaria; Inclusión social; Autonomía energética; Educación.</w:t>
      </w:r>
    </w:p>
    <w:p w14:paraId="4C06641F" w14:textId="77777777" w:rsidR="007A61C1" w:rsidRPr="007A61C1" w:rsidRDefault="007A61C1" w:rsidP="007A61C1">
      <w:pPr>
        <w:rPr>
          <w:rFonts w:ascii="Verdana" w:hAnsi="Verdana"/>
          <w:sz w:val="24"/>
          <w:szCs w:val="24"/>
        </w:rPr>
      </w:pPr>
    </w:p>
    <w:p w14:paraId="2C3BE8E8" w14:textId="77777777" w:rsidR="007A61C1" w:rsidRPr="00800C23" w:rsidRDefault="007A61C1" w:rsidP="007A61C1">
      <w:pPr>
        <w:rPr>
          <w:rFonts w:ascii="Verdana" w:hAnsi="Verdana"/>
          <w:b/>
          <w:sz w:val="24"/>
          <w:szCs w:val="24"/>
          <w:lang w:val="en-US"/>
        </w:rPr>
      </w:pPr>
      <w:r w:rsidRPr="00800C23">
        <w:rPr>
          <w:rFonts w:ascii="Verdana" w:hAnsi="Verdana"/>
          <w:b/>
          <w:sz w:val="24"/>
          <w:szCs w:val="24"/>
          <w:lang w:val="en-US"/>
        </w:rPr>
        <w:t>ABSTRACT.</w:t>
      </w:r>
    </w:p>
    <w:p w14:paraId="0B2C532C" w14:textId="77777777" w:rsidR="00C14303" w:rsidRDefault="00C14303" w:rsidP="007A61C1">
      <w:pPr>
        <w:pStyle w:val="HTMLconformatoprevio"/>
        <w:shd w:val="clear" w:color="auto" w:fill="FFFFFF"/>
        <w:rPr>
          <w:rFonts w:ascii="Verdana" w:hAnsi="Verdana"/>
          <w:color w:val="212121"/>
          <w:sz w:val="24"/>
          <w:szCs w:val="24"/>
          <w:lang w:val="en"/>
        </w:rPr>
      </w:pPr>
    </w:p>
    <w:p w14:paraId="3917D8E5" w14:textId="1F0BD8C2" w:rsidR="00C14303" w:rsidRDefault="00D32BC7" w:rsidP="00D32BC7">
      <w:pPr>
        <w:pStyle w:val="HTMLconformatoprevio"/>
        <w:shd w:val="clear" w:color="auto" w:fill="FFFFFF"/>
        <w:jc w:val="both"/>
        <w:rPr>
          <w:rFonts w:ascii="Verdana" w:hAnsi="Verdana"/>
          <w:color w:val="212121"/>
          <w:sz w:val="24"/>
          <w:szCs w:val="24"/>
          <w:lang w:val="en"/>
        </w:rPr>
      </w:pPr>
      <w:r w:rsidRPr="00D32BC7">
        <w:rPr>
          <w:rFonts w:ascii="Verdana" w:hAnsi="Verdana"/>
          <w:color w:val="212121"/>
          <w:sz w:val="24"/>
          <w:szCs w:val="24"/>
          <w:lang w:val="en"/>
        </w:rPr>
        <w:t xml:space="preserve">Climate change requires both robust strategies and processes that identify the path and transform current energy systems toward sustainable sources with equitable access, in line with global climate goals, inclusion, and social justice. Colombia in particular faces the challenge of progressively reducing dependence on fossil fuels </w:t>
      </w:r>
      <w:proofErr w:type="gramStart"/>
      <w:r w:rsidRPr="00D32BC7">
        <w:rPr>
          <w:rFonts w:ascii="Verdana" w:hAnsi="Verdana"/>
          <w:color w:val="212121"/>
          <w:sz w:val="24"/>
          <w:szCs w:val="24"/>
          <w:lang w:val="en"/>
        </w:rPr>
        <w:t>in order to</w:t>
      </w:r>
      <w:proofErr w:type="gramEnd"/>
      <w:r w:rsidRPr="00D32BC7">
        <w:rPr>
          <w:rFonts w:ascii="Verdana" w:hAnsi="Verdana"/>
          <w:color w:val="212121"/>
          <w:sz w:val="24"/>
          <w:szCs w:val="24"/>
          <w:lang w:val="en"/>
        </w:rPr>
        <w:t xml:space="preserve"> envision renewable generation that enables a cleaner and more diversified energy matrix. This is how the just energy transition is designed based on fundamental pillars such as gradual fuel substitution, investment in clean energy, energy efficiency, regulatory aspects, and reindustrialization of the economy. These elements, as a baseline, have been evolving and are being progressively adopted; however, they are </w:t>
      </w:r>
      <w:r w:rsidRPr="00D32BC7">
        <w:rPr>
          <w:rFonts w:ascii="Verdana" w:hAnsi="Verdana"/>
          <w:color w:val="212121"/>
          <w:sz w:val="24"/>
          <w:szCs w:val="24"/>
          <w:lang w:val="en"/>
        </w:rPr>
        <w:lastRenderedPageBreak/>
        <w:t>not yet addressed based on the needs and potential of the context, especially in rural areas. Although training programs have been designed for energy communities to facilitate local renewable energy management, these are not fully articulated with the territory and micro-territory. This requires expanding strategies for community participation, interaction, and engagement as active subjects of knowledge management and action to promote the energy transition, articulating situated knowledge that achieves environmental sustainability in the short and medium term. This bibliographic review is based on search equations and Boolean operators for systematic reviews and meta-analyses related to the concept of just energy transition, inclusive governance, contextualized pedagogical training and their impact on advances in public policy design, and the identification of community experiences that facilitate local renewable energy management in Colombia.</w:t>
      </w:r>
    </w:p>
    <w:p w14:paraId="36C8FF0B" w14:textId="77777777" w:rsidR="00D32BC7" w:rsidRDefault="00D32BC7" w:rsidP="00D32BC7">
      <w:pPr>
        <w:pStyle w:val="HTMLconformatoprevio"/>
        <w:shd w:val="clear" w:color="auto" w:fill="FFFFFF"/>
        <w:jc w:val="both"/>
        <w:rPr>
          <w:rFonts w:ascii="Verdana" w:hAnsi="Verdana"/>
          <w:color w:val="212121"/>
          <w:sz w:val="24"/>
          <w:szCs w:val="24"/>
          <w:lang w:val="en"/>
        </w:rPr>
      </w:pPr>
    </w:p>
    <w:p w14:paraId="3FA05A71" w14:textId="77777777" w:rsidR="00D32BC7" w:rsidRDefault="00D32BC7" w:rsidP="00D32BC7">
      <w:pPr>
        <w:pStyle w:val="HTMLconformatoprevio"/>
        <w:shd w:val="clear" w:color="auto" w:fill="FFFFFF"/>
        <w:jc w:val="both"/>
        <w:rPr>
          <w:rFonts w:ascii="Verdana" w:hAnsi="Verdana"/>
          <w:color w:val="212121"/>
          <w:sz w:val="24"/>
          <w:szCs w:val="24"/>
          <w:lang w:val="en"/>
        </w:rPr>
      </w:pPr>
    </w:p>
    <w:p w14:paraId="6671D61C" w14:textId="77777777" w:rsidR="007A61C1" w:rsidRDefault="00800C23" w:rsidP="007A61C1">
      <w:pPr>
        <w:rPr>
          <w:rFonts w:ascii="Verdana" w:hAnsi="Verdana"/>
          <w:b/>
          <w:sz w:val="24"/>
          <w:szCs w:val="24"/>
          <w:lang w:val="en-US"/>
        </w:rPr>
      </w:pPr>
      <w:r w:rsidRPr="00800C23">
        <w:rPr>
          <w:rFonts w:ascii="Verdana" w:hAnsi="Verdana"/>
          <w:b/>
          <w:sz w:val="24"/>
          <w:szCs w:val="24"/>
          <w:lang w:val="en-US"/>
        </w:rPr>
        <w:t>Keywords</w:t>
      </w:r>
      <w:r>
        <w:rPr>
          <w:rFonts w:ascii="Verdana" w:hAnsi="Verdana"/>
          <w:b/>
          <w:sz w:val="24"/>
          <w:szCs w:val="24"/>
          <w:lang w:val="en-US"/>
        </w:rPr>
        <w:t>.</w:t>
      </w:r>
    </w:p>
    <w:p w14:paraId="21AF89DA" w14:textId="519FA892" w:rsidR="00800C23" w:rsidRPr="00800C23" w:rsidRDefault="00DA65A9" w:rsidP="007A61C1">
      <w:pPr>
        <w:rPr>
          <w:rFonts w:ascii="Verdana" w:hAnsi="Verdana"/>
          <w:b/>
          <w:sz w:val="24"/>
          <w:szCs w:val="24"/>
          <w:lang w:val="en-US"/>
        </w:rPr>
      </w:pPr>
      <w:r w:rsidRPr="00DA65A9">
        <w:rPr>
          <w:rFonts w:ascii="Verdana" w:eastAsia="Times New Roman" w:hAnsi="Verdana" w:cs="Courier New"/>
          <w:color w:val="212121"/>
          <w:sz w:val="24"/>
          <w:szCs w:val="24"/>
          <w:lang w:val="en" w:eastAsia="es-CO"/>
        </w:rPr>
        <w:t>Renewable energy; Sustainable development; Community participation; Social inclusion; Energy autonomy; Education.</w:t>
      </w:r>
    </w:p>
    <w:p w14:paraId="2D8C9C31" w14:textId="77777777" w:rsidR="00D32BC7" w:rsidRDefault="00D32BC7" w:rsidP="007A61C1">
      <w:pPr>
        <w:rPr>
          <w:rFonts w:ascii="Verdana" w:hAnsi="Verdana"/>
          <w:b/>
          <w:sz w:val="24"/>
          <w:szCs w:val="24"/>
          <w:lang w:val="en-US"/>
        </w:rPr>
      </w:pPr>
    </w:p>
    <w:p w14:paraId="527580A2" w14:textId="70AEDF75" w:rsidR="00032ADA" w:rsidRPr="00AF357C" w:rsidRDefault="00E71CFF" w:rsidP="00AF357C">
      <w:pPr>
        <w:ind w:firstLine="708"/>
        <w:rPr>
          <w:rFonts w:ascii="Verdana" w:hAnsi="Verdana"/>
          <w:b/>
          <w:sz w:val="24"/>
          <w:szCs w:val="24"/>
          <w:lang w:val="en-US"/>
        </w:rPr>
      </w:pPr>
      <w:r w:rsidRPr="00AE5D6C">
        <w:rPr>
          <w:rFonts w:ascii="Verdana" w:hAnsi="Verdana"/>
          <w:b/>
          <w:sz w:val="24"/>
          <w:szCs w:val="24"/>
          <w:lang w:val="en-US"/>
        </w:rPr>
        <w:t xml:space="preserve">INTRODUCCIÓN. </w:t>
      </w:r>
    </w:p>
    <w:p w14:paraId="6AC809B6" w14:textId="4FA6C7A3" w:rsidR="001F73B3" w:rsidRDefault="00792F71" w:rsidP="00B726D9">
      <w:pPr>
        <w:spacing w:after="0"/>
        <w:ind w:firstLine="708"/>
        <w:jc w:val="both"/>
        <w:rPr>
          <w:rFonts w:ascii="Verdana" w:hAnsi="Verdana"/>
          <w:sz w:val="24"/>
          <w:szCs w:val="24"/>
        </w:rPr>
      </w:pPr>
      <w:r>
        <w:rPr>
          <w:rFonts w:ascii="Verdana" w:hAnsi="Verdana"/>
          <w:sz w:val="24"/>
          <w:szCs w:val="24"/>
        </w:rPr>
        <w:t>Como necesidad inmediata</w:t>
      </w:r>
      <w:r w:rsidR="005C1DF9">
        <w:rPr>
          <w:rFonts w:ascii="Verdana" w:hAnsi="Verdana"/>
          <w:sz w:val="24"/>
          <w:szCs w:val="24"/>
        </w:rPr>
        <w:t>,</w:t>
      </w:r>
      <w:r>
        <w:rPr>
          <w:rFonts w:ascii="Verdana" w:hAnsi="Verdana"/>
          <w:sz w:val="24"/>
          <w:szCs w:val="24"/>
        </w:rPr>
        <w:t xml:space="preserve"> en estos momentos, la transición energética se </w:t>
      </w:r>
      <w:r w:rsidR="007E0FE7">
        <w:rPr>
          <w:rFonts w:ascii="Verdana" w:hAnsi="Verdana"/>
          <w:sz w:val="24"/>
          <w:szCs w:val="24"/>
        </w:rPr>
        <w:t>ubica</w:t>
      </w:r>
      <w:r>
        <w:rPr>
          <w:rFonts w:ascii="Verdana" w:hAnsi="Verdana"/>
          <w:sz w:val="24"/>
          <w:szCs w:val="24"/>
        </w:rPr>
        <w:t xml:space="preserve"> cómo una de las apuestas estratégicas en el corto plazo </w:t>
      </w:r>
      <w:r w:rsidR="006D53C3">
        <w:rPr>
          <w:rFonts w:ascii="Verdana" w:hAnsi="Verdana"/>
          <w:sz w:val="24"/>
          <w:szCs w:val="24"/>
        </w:rPr>
        <w:t xml:space="preserve">que no solo es </w:t>
      </w:r>
      <w:r>
        <w:rPr>
          <w:rFonts w:ascii="Verdana" w:hAnsi="Verdana"/>
          <w:sz w:val="24"/>
          <w:szCs w:val="24"/>
        </w:rPr>
        <w:t xml:space="preserve">responsabilidad del estado, la </w:t>
      </w:r>
      <w:r w:rsidR="006D53C3">
        <w:rPr>
          <w:rFonts w:ascii="Verdana" w:hAnsi="Verdana"/>
          <w:sz w:val="24"/>
          <w:szCs w:val="24"/>
        </w:rPr>
        <w:t>academia</w:t>
      </w:r>
      <w:r w:rsidR="0032394B">
        <w:rPr>
          <w:rFonts w:ascii="Verdana" w:hAnsi="Verdana"/>
          <w:sz w:val="24"/>
          <w:szCs w:val="24"/>
        </w:rPr>
        <w:t xml:space="preserve"> o las empresas, </w:t>
      </w:r>
      <w:r w:rsidR="008829DC">
        <w:rPr>
          <w:rFonts w:ascii="Verdana" w:hAnsi="Verdana"/>
          <w:sz w:val="24"/>
          <w:szCs w:val="24"/>
        </w:rPr>
        <w:t xml:space="preserve">sino que centra su esperanza desde </w:t>
      </w:r>
      <w:r w:rsidR="007E0FE7">
        <w:rPr>
          <w:rFonts w:ascii="Verdana" w:hAnsi="Verdana"/>
          <w:sz w:val="24"/>
          <w:szCs w:val="24"/>
        </w:rPr>
        <w:t>una</w:t>
      </w:r>
      <w:r w:rsidR="008829DC">
        <w:rPr>
          <w:rFonts w:ascii="Verdana" w:hAnsi="Verdana"/>
          <w:sz w:val="24"/>
          <w:szCs w:val="24"/>
        </w:rPr>
        <w:t xml:space="preserve"> perspectiva equitativa y de inclusión social en las comunidades</w:t>
      </w:r>
      <w:r w:rsidR="000E34A4">
        <w:rPr>
          <w:rFonts w:ascii="Verdana" w:hAnsi="Verdana"/>
          <w:sz w:val="24"/>
          <w:szCs w:val="24"/>
        </w:rPr>
        <w:t>,</w:t>
      </w:r>
      <w:r w:rsidR="0042704B">
        <w:rPr>
          <w:rFonts w:ascii="Verdana" w:hAnsi="Verdana"/>
          <w:sz w:val="24"/>
          <w:szCs w:val="24"/>
        </w:rPr>
        <w:t xml:space="preserve"> en particular</w:t>
      </w:r>
      <w:r w:rsidR="000674D3">
        <w:rPr>
          <w:rFonts w:ascii="Verdana" w:hAnsi="Verdana"/>
          <w:sz w:val="24"/>
          <w:szCs w:val="24"/>
        </w:rPr>
        <w:t xml:space="preserve"> aquellas ubicadas en la periferia y </w:t>
      </w:r>
      <w:r w:rsidR="0042704B">
        <w:rPr>
          <w:rFonts w:ascii="Verdana" w:hAnsi="Verdana"/>
          <w:sz w:val="24"/>
          <w:szCs w:val="24"/>
        </w:rPr>
        <w:t>zonas rurales en donde el acceso</w:t>
      </w:r>
      <w:r w:rsidR="00FD6F0E">
        <w:rPr>
          <w:rFonts w:ascii="Verdana" w:hAnsi="Verdana"/>
          <w:sz w:val="24"/>
          <w:szCs w:val="24"/>
        </w:rPr>
        <w:t xml:space="preserve"> a la energía</w:t>
      </w:r>
      <w:r w:rsidR="0042704B">
        <w:rPr>
          <w:rFonts w:ascii="Verdana" w:hAnsi="Verdana"/>
          <w:sz w:val="24"/>
          <w:szCs w:val="24"/>
        </w:rPr>
        <w:t xml:space="preserve"> resulta bastante </w:t>
      </w:r>
      <w:r w:rsidR="007E0FE7">
        <w:rPr>
          <w:rFonts w:ascii="Verdana" w:hAnsi="Verdana"/>
          <w:sz w:val="24"/>
          <w:szCs w:val="24"/>
        </w:rPr>
        <w:t>limitado</w:t>
      </w:r>
      <w:r w:rsidR="00425558">
        <w:rPr>
          <w:rFonts w:ascii="Verdana" w:hAnsi="Verdana"/>
          <w:sz w:val="24"/>
          <w:szCs w:val="24"/>
        </w:rPr>
        <w:t xml:space="preserve"> y totalmente de fuentes fósiles lo cual pudiera estar </w:t>
      </w:r>
      <w:r w:rsidR="00AE1DEE">
        <w:rPr>
          <w:rFonts w:ascii="Verdana" w:hAnsi="Verdana"/>
          <w:sz w:val="24"/>
          <w:szCs w:val="24"/>
        </w:rPr>
        <w:t xml:space="preserve">impactando </w:t>
      </w:r>
      <w:r w:rsidR="00425558">
        <w:rPr>
          <w:rFonts w:ascii="Verdana" w:hAnsi="Verdana"/>
          <w:sz w:val="24"/>
          <w:szCs w:val="24"/>
        </w:rPr>
        <w:t>negativa</w:t>
      </w:r>
      <w:r w:rsidR="00AE1DEE">
        <w:rPr>
          <w:rFonts w:ascii="Verdana" w:hAnsi="Verdana"/>
          <w:sz w:val="24"/>
          <w:szCs w:val="24"/>
        </w:rPr>
        <w:t>mente</w:t>
      </w:r>
      <w:r w:rsidR="00425558">
        <w:rPr>
          <w:rFonts w:ascii="Verdana" w:hAnsi="Verdana"/>
          <w:sz w:val="24"/>
          <w:szCs w:val="24"/>
        </w:rPr>
        <w:t xml:space="preserve"> </w:t>
      </w:r>
      <w:r w:rsidR="00460740">
        <w:rPr>
          <w:rFonts w:ascii="Verdana" w:hAnsi="Verdana"/>
          <w:sz w:val="24"/>
          <w:szCs w:val="24"/>
        </w:rPr>
        <w:t>en</w:t>
      </w:r>
      <w:r w:rsidR="00FD6F0E">
        <w:rPr>
          <w:rFonts w:ascii="Verdana" w:hAnsi="Verdana"/>
          <w:sz w:val="24"/>
          <w:szCs w:val="24"/>
        </w:rPr>
        <w:t xml:space="preserve"> </w:t>
      </w:r>
      <w:r w:rsidR="00460740">
        <w:rPr>
          <w:rFonts w:ascii="Verdana" w:hAnsi="Verdana"/>
          <w:sz w:val="24"/>
          <w:szCs w:val="24"/>
        </w:rPr>
        <w:t>el bienestar social y la conservación misma del entorno</w:t>
      </w:r>
      <w:r w:rsidR="006E4769">
        <w:rPr>
          <w:rFonts w:ascii="Verdana" w:hAnsi="Verdana"/>
          <w:sz w:val="24"/>
          <w:szCs w:val="24"/>
        </w:rPr>
        <w:t xml:space="preserve">. </w:t>
      </w:r>
    </w:p>
    <w:p w14:paraId="2BF2E73B" w14:textId="77777777" w:rsidR="001F73B3" w:rsidRDefault="001F73B3" w:rsidP="00B726D9">
      <w:pPr>
        <w:spacing w:after="0"/>
        <w:ind w:firstLine="708"/>
        <w:jc w:val="both"/>
        <w:rPr>
          <w:rFonts w:ascii="Verdana" w:hAnsi="Verdana"/>
          <w:sz w:val="24"/>
          <w:szCs w:val="24"/>
        </w:rPr>
      </w:pPr>
    </w:p>
    <w:p w14:paraId="4595981C" w14:textId="6252CA66" w:rsidR="00E36931" w:rsidRDefault="00E36931" w:rsidP="00E36931">
      <w:pPr>
        <w:spacing w:after="0"/>
        <w:ind w:firstLine="708"/>
        <w:jc w:val="both"/>
        <w:rPr>
          <w:rFonts w:ascii="Verdana" w:hAnsi="Verdana"/>
          <w:sz w:val="24"/>
          <w:szCs w:val="24"/>
        </w:rPr>
      </w:pPr>
      <w:r>
        <w:rPr>
          <w:rFonts w:ascii="Verdana" w:hAnsi="Verdana"/>
          <w:sz w:val="24"/>
          <w:szCs w:val="24"/>
        </w:rPr>
        <w:t xml:space="preserve">Al hablar de justicia energética se entiende esta como </w:t>
      </w:r>
      <w:r w:rsidR="00B4299D">
        <w:rPr>
          <w:rFonts w:ascii="Verdana" w:hAnsi="Verdana"/>
          <w:sz w:val="24"/>
          <w:szCs w:val="24"/>
        </w:rPr>
        <w:t>la forma</w:t>
      </w:r>
      <w:r>
        <w:rPr>
          <w:rFonts w:ascii="Verdana" w:hAnsi="Verdana"/>
          <w:sz w:val="24"/>
          <w:szCs w:val="24"/>
        </w:rPr>
        <w:t xml:space="preserve"> de distribuir de manera equitativa responsabilidades y beneficios</w:t>
      </w:r>
      <w:r w:rsidR="00B4299D">
        <w:rPr>
          <w:rFonts w:ascii="Verdana" w:hAnsi="Verdana"/>
          <w:sz w:val="24"/>
          <w:szCs w:val="24"/>
        </w:rPr>
        <w:t xml:space="preserve"> (</w:t>
      </w:r>
      <w:proofErr w:type="spellStart"/>
      <w:r w:rsidR="00B4299D">
        <w:rPr>
          <w:rFonts w:ascii="Verdana" w:hAnsi="Verdana"/>
          <w:sz w:val="24"/>
          <w:szCs w:val="24"/>
        </w:rPr>
        <w:t>Heffron</w:t>
      </w:r>
      <w:proofErr w:type="spellEnd"/>
      <w:r w:rsidR="00B4299D">
        <w:rPr>
          <w:rFonts w:ascii="Verdana" w:hAnsi="Verdana"/>
          <w:sz w:val="24"/>
          <w:szCs w:val="24"/>
        </w:rPr>
        <w:t xml:space="preserve"> et al</w:t>
      </w:r>
      <w:r w:rsidR="00C66E1E">
        <w:rPr>
          <w:rFonts w:ascii="Verdana" w:hAnsi="Verdana"/>
          <w:sz w:val="24"/>
          <w:szCs w:val="24"/>
        </w:rPr>
        <w:t>, 2020)</w:t>
      </w:r>
      <w:r w:rsidR="00D01C9F">
        <w:rPr>
          <w:rFonts w:ascii="Verdana" w:hAnsi="Verdana"/>
          <w:sz w:val="24"/>
          <w:szCs w:val="24"/>
        </w:rPr>
        <w:t>.</w:t>
      </w:r>
      <w:r>
        <w:rPr>
          <w:rFonts w:ascii="Verdana" w:hAnsi="Verdana"/>
          <w:sz w:val="24"/>
          <w:szCs w:val="24"/>
        </w:rPr>
        <w:t xml:space="preserve"> En ese proceso de transición hacia energía renovables se identifican oportunidades de diversificación de la matriz energética y también la posibilidad de cerrar brechas económicas, sociales y culturales que vienen de </w:t>
      </w:r>
      <w:r w:rsidR="00D01C9F">
        <w:rPr>
          <w:rFonts w:ascii="Verdana" w:hAnsi="Verdana"/>
          <w:sz w:val="24"/>
          <w:szCs w:val="24"/>
        </w:rPr>
        <w:t>épocas de antaño</w:t>
      </w:r>
      <w:r>
        <w:rPr>
          <w:rFonts w:ascii="Verdana" w:hAnsi="Verdana"/>
          <w:sz w:val="24"/>
          <w:szCs w:val="24"/>
        </w:rPr>
        <w:t xml:space="preserve"> </w:t>
      </w:r>
      <w:r w:rsidRPr="00B726D9">
        <w:rPr>
          <w:rFonts w:ascii="Verdana" w:hAnsi="Verdana"/>
          <w:sz w:val="24"/>
          <w:szCs w:val="24"/>
        </w:rPr>
        <w:t>(Ministerio de Minas y Energía, 2024).</w:t>
      </w:r>
    </w:p>
    <w:p w14:paraId="279FC820" w14:textId="77777777" w:rsidR="00497467" w:rsidRDefault="00497467" w:rsidP="00E36931">
      <w:pPr>
        <w:spacing w:after="0"/>
        <w:ind w:firstLine="708"/>
        <w:jc w:val="both"/>
        <w:rPr>
          <w:rFonts w:ascii="Verdana" w:hAnsi="Verdana"/>
          <w:sz w:val="24"/>
          <w:szCs w:val="24"/>
        </w:rPr>
      </w:pPr>
    </w:p>
    <w:p w14:paraId="672D76B0" w14:textId="6D34D3DB" w:rsidR="00765AAF" w:rsidRDefault="002D5D44" w:rsidP="00E36931">
      <w:pPr>
        <w:spacing w:after="0"/>
        <w:ind w:firstLine="708"/>
        <w:jc w:val="both"/>
        <w:rPr>
          <w:rFonts w:ascii="Verdana" w:hAnsi="Verdana"/>
          <w:sz w:val="24"/>
          <w:szCs w:val="24"/>
        </w:rPr>
      </w:pPr>
      <w:r>
        <w:rPr>
          <w:rFonts w:ascii="Verdana" w:hAnsi="Verdana"/>
          <w:sz w:val="24"/>
          <w:szCs w:val="24"/>
        </w:rPr>
        <w:t xml:space="preserve">De allí que </w:t>
      </w:r>
      <w:r w:rsidR="00497467">
        <w:rPr>
          <w:rFonts w:ascii="Verdana" w:hAnsi="Verdana"/>
          <w:sz w:val="24"/>
          <w:szCs w:val="24"/>
        </w:rPr>
        <w:t>las comunidades rurales y campesinas de amplia riqueza y diversidad cultural</w:t>
      </w:r>
      <w:r w:rsidR="003B6C93">
        <w:rPr>
          <w:rFonts w:ascii="Verdana" w:hAnsi="Verdana"/>
          <w:sz w:val="24"/>
          <w:szCs w:val="24"/>
        </w:rPr>
        <w:t xml:space="preserve"> y </w:t>
      </w:r>
      <w:r w:rsidR="009639E9">
        <w:rPr>
          <w:rFonts w:ascii="Verdana" w:hAnsi="Verdana"/>
          <w:sz w:val="24"/>
          <w:szCs w:val="24"/>
        </w:rPr>
        <w:t>territorial</w:t>
      </w:r>
      <w:r w:rsidR="003B6C93">
        <w:rPr>
          <w:rFonts w:ascii="Verdana" w:hAnsi="Verdana"/>
          <w:sz w:val="24"/>
          <w:szCs w:val="24"/>
        </w:rPr>
        <w:t xml:space="preserve">, </w:t>
      </w:r>
      <w:r w:rsidR="002A09C3">
        <w:rPr>
          <w:rFonts w:ascii="Verdana" w:hAnsi="Verdana"/>
          <w:sz w:val="24"/>
          <w:szCs w:val="24"/>
        </w:rPr>
        <w:t>demandan</w:t>
      </w:r>
      <w:r w:rsidR="003B6C93">
        <w:rPr>
          <w:rFonts w:ascii="Verdana" w:hAnsi="Verdana"/>
          <w:sz w:val="24"/>
          <w:szCs w:val="24"/>
        </w:rPr>
        <w:t xml:space="preserve"> modelos de transición </w:t>
      </w:r>
      <w:r w:rsidR="003B6C93">
        <w:rPr>
          <w:rFonts w:ascii="Verdana" w:hAnsi="Verdana"/>
          <w:sz w:val="24"/>
          <w:szCs w:val="24"/>
        </w:rPr>
        <w:lastRenderedPageBreak/>
        <w:t xml:space="preserve">energética ajustados a sus necesidades y potencialidades </w:t>
      </w:r>
      <w:r w:rsidR="007F6E36">
        <w:rPr>
          <w:rFonts w:ascii="Verdana" w:hAnsi="Verdana"/>
          <w:sz w:val="24"/>
          <w:szCs w:val="24"/>
        </w:rPr>
        <w:t xml:space="preserve">específicas, </w:t>
      </w:r>
      <w:r w:rsidR="00ED64B9">
        <w:rPr>
          <w:rFonts w:ascii="Verdana" w:hAnsi="Verdana"/>
          <w:sz w:val="24"/>
          <w:szCs w:val="24"/>
        </w:rPr>
        <w:t xml:space="preserve">a través de </w:t>
      </w:r>
      <w:r w:rsidR="00AC4816">
        <w:rPr>
          <w:rFonts w:ascii="Verdana" w:hAnsi="Verdana"/>
          <w:sz w:val="24"/>
          <w:szCs w:val="24"/>
        </w:rPr>
        <w:t>tecnologías emergentes</w:t>
      </w:r>
      <w:r w:rsidR="004C103F">
        <w:rPr>
          <w:rFonts w:ascii="Verdana" w:hAnsi="Verdana"/>
          <w:sz w:val="24"/>
          <w:szCs w:val="24"/>
        </w:rPr>
        <w:t>,</w:t>
      </w:r>
      <w:r w:rsidR="00606F29">
        <w:rPr>
          <w:rFonts w:ascii="Verdana" w:hAnsi="Verdana"/>
          <w:sz w:val="24"/>
          <w:szCs w:val="24"/>
        </w:rPr>
        <w:t xml:space="preserve"> </w:t>
      </w:r>
      <w:r w:rsidR="00ED64B9">
        <w:rPr>
          <w:rFonts w:ascii="Verdana" w:hAnsi="Verdana"/>
          <w:sz w:val="24"/>
          <w:szCs w:val="24"/>
        </w:rPr>
        <w:t>p</w:t>
      </w:r>
      <w:r w:rsidR="00DA5378">
        <w:rPr>
          <w:rFonts w:ascii="Verdana" w:hAnsi="Verdana"/>
          <w:sz w:val="24"/>
          <w:szCs w:val="24"/>
        </w:rPr>
        <w:t>rocesos de participación ciudadana</w:t>
      </w:r>
      <w:r w:rsidR="00292A49">
        <w:rPr>
          <w:rFonts w:ascii="Verdana" w:hAnsi="Verdana"/>
          <w:sz w:val="24"/>
          <w:szCs w:val="24"/>
        </w:rPr>
        <w:t xml:space="preserve"> para el</w:t>
      </w:r>
      <w:r w:rsidR="00DA5378">
        <w:rPr>
          <w:rFonts w:ascii="Verdana" w:hAnsi="Verdana"/>
          <w:sz w:val="24"/>
          <w:szCs w:val="24"/>
        </w:rPr>
        <w:t xml:space="preserve"> diseño de políticas pertinentes en el marco de los saberes ancestrales</w:t>
      </w:r>
      <w:r w:rsidR="008975CC">
        <w:rPr>
          <w:rFonts w:ascii="Verdana" w:hAnsi="Verdana"/>
          <w:sz w:val="24"/>
          <w:szCs w:val="24"/>
        </w:rPr>
        <w:t xml:space="preserve"> y el respe</w:t>
      </w:r>
      <w:r w:rsidR="00EF537E">
        <w:rPr>
          <w:rFonts w:ascii="Verdana" w:hAnsi="Verdana"/>
          <w:sz w:val="24"/>
          <w:szCs w:val="24"/>
        </w:rPr>
        <w:t>to por las soluciones que se constituy</w:t>
      </w:r>
      <w:r w:rsidR="006205FB">
        <w:rPr>
          <w:rFonts w:ascii="Verdana" w:hAnsi="Verdana"/>
          <w:sz w:val="24"/>
          <w:szCs w:val="24"/>
        </w:rPr>
        <w:t>e</w:t>
      </w:r>
      <w:r w:rsidR="00EF537E">
        <w:rPr>
          <w:rFonts w:ascii="Verdana" w:hAnsi="Verdana"/>
          <w:sz w:val="24"/>
          <w:szCs w:val="24"/>
        </w:rPr>
        <w:t xml:space="preserve">n como apuesta </w:t>
      </w:r>
      <w:r w:rsidR="00292A49">
        <w:rPr>
          <w:rFonts w:ascii="Verdana" w:hAnsi="Verdana"/>
          <w:sz w:val="24"/>
          <w:szCs w:val="24"/>
        </w:rPr>
        <w:t>estratégica para</w:t>
      </w:r>
      <w:r w:rsidR="00EF537E">
        <w:rPr>
          <w:rFonts w:ascii="Verdana" w:hAnsi="Verdana"/>
          <w:sz w:val="24"/>
          <w:szCs w:val="24"/>
        </w:rPr>
        <w:t xml:space="preserve"> </w:t>
      </w:r>
      <w:r w:rsidR="00765AAF">
        <w:rPr>
          <w:rFonts w:ascii="Verdana" w:hAnsi="Verdana"/>
          <w:sz w:val="24"/>
          <w:szCs w:val="24"/>
        </w:rPr>
        <w:t>estas zonas alejadas y a veces abandonadas por el estado.</w:t>
      </w:r>
    </w:p>
    <w:p w14:paraId="6B2B16DF" w14:textId="77777777" w:rsidR="00765AAF" w:rsidRDefault="00765AAF" w:rsidP="00E36931">
      <w:pPr>
        <w:spacing w:after="0"/>
        <w:ind w:firstLine="708"/>
        <w:jc w:val="both"/>
        <w:rPr>
          <w:rFonts w:ascii="Verdana" w:hAnsi="Verdana"/>
          <w:sz w:val="24"/>
          <w:szCs w:val="24"/>
        </w:rPr>
      </w:pPr>
    </w:p>
    <w:p w14:paraId="18CBF67A" w14:textId="0DB574DF" w:rsidR="00060216" w:rsidRDefault="002907EE" w:rsidP="00E36931">
      <w:pPr>
        <w:spacing w:after="0"/>
        <w:ind w:firstLine="708"/>
        <w:jc w:val="both"/>
        <w:rPr>
          <w:rFonts w:ascii="Verdana" w:hAnsi="Verdana"/>
          <w:sz w:val="24"/>
          <w:szCs w:val="24"/>
        </w:rPr>
      </w:pPr>
      <w:r>
        <w:rPr>
          <w:rFonts w:ascii="Verdana" w:hAnsi="Verdana"/>
          <w:sz w:val="24"/>
          <w:szCs w:val="24"/>
        </w:rPr>
        <w:t>Para el caso particular</w:t>
      </w:r>
      <w:r w:rsidR="006A793D">
        <w:rPr>
          <w:rFonts w:ascii="Verdana" w:hAnsi="Verdana"/>
          <w:sz w:val="24"/>
          <w:szCs w:val="24"/>
        </w:rPr>
        <w:t>, Colombia</w:t>
      </w:r>
      <w:r w:rsidR="00AA1CAF">
        <w:rPr>
          <w:rFonts w:ascii="Verdana" w:hAnsi="Verdana"/>
          <w:sz w:val="24"/>
          <w:szCs w:val="24"/>
        </w:rPr>
        <w:t xml:space="preserve"> viene impulsando políticas publicas </w:t>
      </w:r>
      <w:r w:rsidR="00830822">
        <w:rPr>
          <w:rFonts w:ascii="Verdana" w:hAnsi="Verdana"/>
          <w:sz w:val="24"/>
          <w:szCs w:val="24"/>
        </w:rPr>
        <w:t xml:space="preserve">como la Ley </w:t>
      </w:r>
      <w:r w:rsidR="001470A0">
        <w:rPr>
          <w:rFonts w:ascii="Verdana" w:hAnsi="Verdana"/>
          <w:sz w:val="24"/>
          <w:szCs w:val="24"/>
        </w:rPr>
        <w:t xml:space="preserve">1715 de 2014 en donde se identifican incentivos </w:t>
      </w:r>
      <w:r w:rsidR="00F03D74">
        <w:rPr>
          <w:rFonts w:ascii="Verdana" w:hAnsi="Verdana"/>
          <w:sz w:val="24"/>
          <w:szCs w:val="24"/>
        </w:rPr>
        <w:t>para la incorporación de energía</w:t>
      </w:r>
      <w:r w:rsidR="00853A97">
        <w:rPr>
          <w:rFonts w:ascii="Verdana" w:hAnsi="Verdana"/>
          <w:sz w:val="24"/>
          <w:szCs w:val="24"/>
        </w:rPr>
        <w:t>s</w:t>
      </w:r>
      <w:r w:rsidR="00F03D74">
        <w:rPr>
          <w:rFonts w:ascii="Verdana" w:hAnsi="Verdana"/>
          <w:sz w:val="24"/>
          <w:szCs w:val="24"/>
        </w:rPr>
        <w:t xml:space="preserve"> renovables al sistema </w:t>
      </w:r>
      <w:r w:rsidR="00662F80">
        <w:rPr>
          <w:rFonts w:ascii="Verdana" w:hAnsi="Verdana"/>
          <w:sz w:val="24"/>
          <w:szCs w:val="24"/>
        </w:rPr>
        <w:t>energético y a su vez impulsa la participación de las comunidades en la gestión de este tipo de proyectos</w:t>
      </w:r>
      <w:r w:rsidR="009B5667">
        <w:rPr>
          <w:rFonts w:ascii="Verdana" w:hAnsi="Verdana"/>
          <w:sz w:val="24"/>
          <w:szCs w:val="24"/>
        </w:rPr>
        <w:t xml:space="preserve">. Sin </w:t>
      </w:r>
      <w:r w:rsidR="00060216">
        <w:rPr>
          <w:rFonts w:ascii="Verdana" w:hAnsi="Verdana"/>
          <w:sz w:val="24"/>
          <w:szCs w:val="24"/>
        </w:rPr>
        <w:t>embargo,</w:t>
      </w:r>
      <w:r w:rsidR="009B5667">
        <w:rPr>
          <w:rFonts w:ascii="Verdana" w:hAnsi="Verdana"/>
          <w:sz w:val="24"/>
          <w:szCs w:val="24"/>
        </w:rPr>
        <w:t xml:space="preserve"> estos avances </w:t>
      </w:r>
      <w:r w:rsidR="00756066">
        <w:rPr>
          <w:rFonts w:ascii="Verdana" w:hAnsi="Verdana"/>
          <w:sz w:val="24"/>
          <w:szCs w:val="24"/>
        </w:rPr>
        <w:t>pu</w:t>
      </w:r>
      <w:r w:rsidR="00EB0D8C">
        <w:rPr>
          <w:rFonts w:ascii="Verdana" w:hAnsi="Verdana"/>
          <w:sz w:val="24"/>
          <w:szCs w:val="24"/>
        </w:rPr>
        <w:t>eden</w:t>
      </w:r>
      <w:r w:rsidR="00756066">
        <w:rPr>
          <w:rFonts w:ascii="Verdana" w:hAnsi="Verdana"/>
          <w:sz w:val="24"/>
          <w:szCs w:val="24"/>
        </w:rPr>
        <w:t xml:space="preserve"> ser potencializados desde la academia en sus diferentes niveles formativos</w:t>
      </w:r>
      <w:r w:rsidR="00B156EB">
        <w:rPr>
          <w:rFonts w:ascii="Verdana" w:hAnsi="Verdana"/>
          <w:sz w:val="24"/>
          <w:szCs w:val="24"/>
        </w:rPr>
        <w:t xml:space="preserve"> en donde desde temprana edad se sensibiliza a l</w:t>
      </w:r>
      <w:r w:rsidR="00D70A36">
        <w:rPr>
          <w:rFonts w:ascii="Verdana" w:hAnsi="Verdana"/>
          <w:sz w:val="24"/>
          <w:szCs w:val="24"/>
        </w:rPr>
        <w:t xml:space="preserve">os jóvenes y niños como agentes de cambio en temáticas como sostenibilidad y </w:t>
      </w:r>
      <w:r w:rsidR="006A2FB5">
        <w:rPr>
          <w:rFonts w:ascii="Verdana" w:hAnsi="Verdana"/>
          <w:sz w:val="24"/>
          <w:szCs w:val="24"/>
        </w:rPr>
        <w:t>arraigo comunitario</w:t>
      </w:r>
      <w:r w:rsidR="00060216">
        <w:rPr>
          <w:rFonts w:ascii="Verdana" w:hAnsi="Verdana"/>
          <w:sz w:val="24"/>
          <w:szCs w:val="24"/>
        </w:rPr>
        <w:t xml:space="preserve">. </w:t>
      </w:r>
    </w:p>
    <w:p w14:paraId="1A15F352" w14:textId="77777777" w:rsidR="00060216" w:rsidRDefault="00060216" w:rsidP="00E36931">
      <w:pPr>
        <w:spacing w:after="0"/>
        <w:ind w:firstLine="708"/>
        <w:jc w:val="both"/>
        <w:rPr>
          <w:rFonts w:ascii="Verdana" w:hAnsi="Verdana"/>
          <w:sz w:val="24"/>
          <w:szCs w:val="24"/>
        </w:rPr>
      </w:pPr>
    </w:p>
    <w:p w14:paraId="283015C9" w14:textId="4EC2A24A" w:rsidR="00060216" w:rsidRDefault="00060216" w:rsidP="00E36931">
      <w:pPr>
        <w:spacing w:after="0"/>
        <w:ind w:firstLine="708"/>
        <w:jc w:val="both"/>
        <w:rPr>
          <w:rFonts w:ascii="Verdana" w:hAnsi="Verdana"/>
          <w:sz w:val="24"/>
          <w:szCs w:val="24"/>
        </w:rPr>
      </w:pPr>
      <w:r>
        <w:rPr>
          <w:rFonts w:ascii="Verdana" w:hAnsi="Verdana"/>
          <w:sz w:val="24"/>
          <w:szCs w:val="24"/>
        </w:rPr>
        <w:t xml:space="preserve">Por lo anterior, </w:t>
      </w:r>
      <w:r w:rsidR="00BD1F40">
        <w:rPr>
          <w:rFonts w:ascii="Verdana" w:hAnsi="Verdana"/>
          <w:sz w:val="24"/>
          <w:szCs w:val="24"/>
        </w:rPr>
        <w:t>de manera interdisciplinar</w:t>
      </w:r>
      <w:r w:rsidR="008524CE">
        <w:rPr>
          <w:rFonts w:ascii="Verdana" w:hAnsi="Verdana"/>
          <w:sz w:val="24"/>
          <w:szCs w:val="24"/>
        </w:rPr>
        <w:t xml:space="preserve"> y transdisciplinar</w:t>
      </w:r>
      <w:r w:rsidR="00BD1F40">
        <w:rPr>
          <w:rFonts w:ascii="Verdana" w:hAnsi="Verdana"/>
          <w:sz w:val="24"/>
          <w:szCs w:val="24"/>
        </w:rPr>
        <w:t xml:space="preserve"> los Ministerios de Minas y Energía y Educación aúnan esfuerzos</w:t>
      </w:r>
      <w:r w:rsidR="005A2238">
        <w:rPr>
          <w:rFonts w:ascii="Verdana" w:hAnsi="Verdana"/>
          <w:sz w:val="24"/>
          <w:szCs w:val="24"/>
        </w:rPr>
        <w:t xml:space="preserve"> para potencializar la articulación del currículo con las necesidades y </w:t>
      </w:r>
      <w:r w:rsidR="007F0C16">
        <w:rPr>
          <w:rFonts w:ascii="Verdana" w:hAnsi="Verdana"/>
          <w:sz w:val="24"/>
          <w:szCs w:val="24"/>
        </w:rPr>
        <w:t>apuestas</w:t>
      </w:r>
      <w:r w:rsidR="005A2238">
        <w:rPr>
          <w:rFonts w:ascii="Verdana" w:hAnsi="Verdana"/>
          <w:sz w:val="24"/>
          <w:szCs w:val="24"/>
        </w:rPr>
        <w:t xml:space="preserve"> del territorio</w:t>
      </w:r>
      <w:r w:rsidR="003C132A">
        <w:rPr>
          <w:rFonts w:ascii="Verdana" w:hAnsi="Verdana"/>
          <w:sz w:val="24"/>
          <w:szCs w:val="24"/>
        </w:rPr>
        <w:t>, en especial en las zonas con mayor</w:t>
      </w:r>
      <w:r w:rsidR="007F0C16">
        <w:rPr>
          <w:rFonts w:ascii="Verdana" w:hAnsi="Verdana"/>
          <w:sz w:val="24"/>
          <w:szCs w:val="24"/>
        </w:rPr>
        <w:t xml:space="preserve"> potencial para el desarrollo e incorporación de energías </w:t>
      </w:r>
      <w:r w:rsidR="007D50AD">
        <w:rPr>
          <w:rFonts w:ascii="Verdana" w:hAnsi="Verdana"/>
          <w:sz w:val="24"/>
          <w:szCs w:val="24"/>
        </w:rPr>
        <w:t>limpias. Departamentos como La Guajira, Vichad</w:t>
      </w:r>
      <w:r w:rsidR="00080CB1">
        <w:rPr>
          <w:rFonts w:ascii="Verdana" w:hAnsi="Verdana"/>
          <w:sz w:val="24"/>
          <w:szCs w:val="24"/>
        </w:rPr>
        <w:t>a</w:t>
      </w:r>
      <w:r w:rsidR="007D50AD">
        <w:rPr>
          <w:rFonts w:ascii="Verdana" w:hAnsi="Verdana"/>
          <w:sz w:val="24"/>
          <w:szCs w:val="24"/>
        </w:rPr>
        <w:t>, Guaviare</w:t>
      </w:r>
      <w:r w:rsidR="00080CB1">
        <w:rPr>
          <w:rFonts w:ascii="Verdana" w:hAnsi="Verdana"/>
          <w:sz w:val="24"/>
          <w:szCs w:val="24"/>
        </w:rPr>
        <w:t>, Chocó</w:t>
      </w:r>
      <w:r w:rsidR="0066703B">
        <w:rPr>
          <w:rFonts w:ascii="Verdana" w:hAnsi="Verdana"/>
          <w:sz w:val="24"/>
          <w:szCs w:val="24"/>
        </w:rPr>
        <w:t xml:space="preserve"> desarrollan </w:t>
      </w:r>
      <w:r w:rsidR="00B312EE">
        <w:rPr>
          <w:rFonts w:ascii="Verdana" w:hAnsi="Verdana"/>
          <w:sz w:val="24"/>
          <w:szCs w:val="24"/>
        </w:rPr>
        <w:t xml:space="preserve">Escuelas de Formación para la </w:t>
      </w:r>
      <w:r w:rsidR="00664416">
        <w:rPr>
          <w:rFonts w:ascii="Verdana" w:hAnsi="Verdana"/>
          <w:sz w:val="24"/>
          <w:szCs w:val="24"/>
        </w:rPr>
        <w:t>T</w:t>
      </w:r>
      <w:r w:rsidR="00B312EE">
        <w:rPr>
          <w:rFonts w:ascii="Verdana" w:hAnsi="Verdana"/>
          <w:sz w:val="24"/>
          <w:szCs w:val="24"/>
        </w:rPr>
        <w:t xml:space="preserve">ransición </w:t>
      </w:r>
      <w:r w:rsidR="00664416">
        <w:rPr>
          <w:rFonts w:ascii="Verdana" w:hAnsi="Verdana"/>
          <w:sz w:val="24"/>
          <w:szCs w:val="24"/>
        </w:rPr>
        <w:t>E</w:t>
      </w:r>
      <w:r w:rsidR="00B312EE">
        <w:rPr>
          <w:rFonts w:ascii="Verdana" w:hAnsi="Verdana"/>
          <w:sz w:val="24"/>
          <w:szCs w:val="24"/>
        </w:rPr>
        <w:t xml:space="preserve">nergética </w:t>
      </w:r>
      <w:r w:rsidR="00664416">
        <w:rPr>
          <w:rFonts w:ascii="Verdana" w:hAnsi="Verdana"/>
          <w:sz w:val="24"/>
          <w:szCs w:val="24"/>
        </w:rPr>
        <w:t>Justa</w:t>
      </w:r>
      <w:r w:rsidR="00EE2741">
        <w:rPr>
          <w:rFonts w:ascii="Verdana" w:hAnsi="Verdana"/>
          <w:sz w:val="24"/>
          <w:szCs w:val="24"/>
        </w:rPr>
        <w:t xml:space="preserve">, logrando la cualificación </w:t>
      </w:r>
      <w:r w:rsidR="00273DFA">
        <w:rPr>
          <w:rFonts w:ascii="Verdana" w:hAnsi="Verdana"/>
          <w:sz w:val="24"/>
          <w:szCs w:val="24"/>
        </w:rPr>
        <w:t xml:space="preserve">en territorios de la Colombia profunda con el fin de establecer una línea base </w:t>
      </w:r>
      <w:r w:rsidR="0005224D">
        <w:rPr>
          <w:rFonts w:ascii="Verdana" w:hAnsi="Verdana"/>
          <w:sz w:val="24"/>
          <w:szCs w:val="24"/>
        </w:rPr>
        <w:t>para la promoción de soluciones energéticas para zonas de difícil acceso (IPSE, 2024)</w:t>
      </w:r>
    </w:p>
    <w:p w14:paraId="6A108868" w14:textId="77777777" w:rsidR="0005224D" w:rsidRDefault="0005224D" w:rsidP="00E36931">
      <w:pPr>
        <w:spacing w:after="0"/>
        <w:ind w:firstLine="708"/>
        <w:jc w:val="both"/>
        <w:rPr>
          <w:rFonts w:ascii="Verdana" w:hAnsi="Verdana"/>
          <w:sz w:val="24"/>
          <w:szCs w:val="24"/>
        </w:rPr>
      </w:pPr>
    </w:p>
    <w:p w14:paraId="24551265" w14:textId="1C368724" w:rsidR="0005224D" w:rsidRDefault="00D04B0F" w:rsidP="00E36931">
      <w:pPr>
        <w:spacing w:after="0"/>
        <w:ind w:firstLine="708"/>
        <w:jc w:val="both"/>
        <w:rPr>
          <w:rFonts w:ascii="Verdana" w:hAnsi="Verdana"/>
          <w:sz w:val="24"/>
          <w:szCs w:val="24"/>
        </w:rPr>
      </w:pPr>
      <w:r>
        <w:rPr>
          <w:rFonts w:ascii="Verdana" w:hAnsi="Verdana"/>
          <w:sz w:val="24"/>
          <w:szCs w:val="24"/>
        </w:rPr>
        <w:t>Estos</w:t>
      </w:r>
      <w:r w:rsidR="0005224D">
        <w:rPr>
          <w:rFonts w:ascii="Verdana" w:hAnsi="Verdana"/>
          <w:sz w:val="24"/>
          <w:szCs w:val="24"/>
        </w:rPr>
        <w:t xml:space="preserve"> l</w:t>
      </w:r>
      <w:r>
        <w:rPr>
          <w:rFonts w:ascii="Verdana" w:hAnsi="Verdana"/>
          <w:sz w:val="24"/>
          <w:szCs w:val="24"/>
        </w:rPr>
        <w:t>la</w:t>
      </w:r>
      <w:r w:rsidR="0005224D">
        <w:rPr>
          <w:rFonts w:ascii="Verdana" w:hAnsi="Verdana"/>
          <w:sz w:val="24"/>
          <w:szCs w:val="24"/>
        </w:rPr>
        <w:t>m</w:t>
      </w:r>
      <w:r w:rsidR="005D2DB5">
        <w:rPr>
          <w:rFonts w:ascii="Verdana" w:hAnsi="Verdana"/>
          <w:sz w:val="24"/>
          <w:szCs w:val="24"/>
        </w:rPr>
        <w:t>a</w:t>
      </w:r>
      <w:r w:rsidR="0005224D">
        <w:rPr>
          <w:rFonts w:ascii="Verdana" w:hAnsi="Verdana"/>
          <w:sz w:val="24"/>
          <w:szCs w:val="24"/>
        </w:rPr>
        <w:t>dos</w:t>
      </w:r>
      <w:r w:rsidR="005D2DB5">
        <w:rPr>
          <w:rFonts w:ascii="Verdana" w:hAnsi="Verdana"/>
          <w:sz w:val="24"/>
          <w:szCs w:val="24"/>
        </w:rPr>
        <w:t xml:space="preserve"> por parte de diferentes actores en el </w:t>
      </w:r>
      <w:r w:rsidR="007001D0">
        <w:rPr>
          <w:rFonts w:ascii="Verdana" w:hAnsi="Verdana"/>
          <w:sz w:val="24"/>
          <w:szCs w:val="24"/>
        </w:rPr>
        <w:t>territorio</w:t>
      </w:r>
      <w:r w:rsidR="005D2DB5">
        <w:rPr>
          <w:rFonts w:ascii="Verdana" w:hAnsi="Verdana"/>
          <w:sz w:val="24"/>
          <w:szCs w:val="24"/>
        </w:rPr>
        <w:t xml:space="preserve"> </w:t>
      </w:r>
      <w:r w:rsidR="00043012">
        <w:rPr>
          <w:rFonts w:ascii="Verdana" w:hAnsi="Verdana"/>
          <w:sz w:val="24"/>
          <w:szCs w:val="24"/>
        </w:rPr>
        <w:t xml:space="preserve">buscan generar conciencia sobre </w:t>
      </w:r>
      <w:r w:rsidR="007001D0">
        <w:rPr>
          <w:rFonts w:ascii="Verdana" w:hAnsi="Verdana"/>
          <w:sz w:val="24"/>
          <w:szCs w:val="24"/>
        </w:rPr>
        <w:t>la energía solar y eólica y c</w:t>
      </w:r>
      <w:r w:rsidR="00EB0D8C">
        <w:rPr>
          <w:rFonts w:ascii="Verdana" w:hAnsi="Verdana"/>
          <w:sz w:val="24"/>
          <w:szCs w:val="24"/>
        </w:rPr>
        <w:t>ó</w:t>
      </w:r>
      <w:r w:rsidR="007001D0">
        <w:rPr>
          <w:rFonts w:ascii="Verdana" w:hAnsi="Verdana"/>
          <w:sz w:val="24"/>
          <w:szCs w:val="24"/>
        </w:rPr>
        <w:t xml:space="preserve">mo </w:t>
      </w:r>
      <w:r w:rsidR="003B3029">
        <w:rPr>
          <w:rFonts w:ascii="Verdana" w:hAnsi="Verdana"/>
          <w:sz w:val="24"/>
          <w:szCs w:val="24"/>
        </w:rPr>
        <w:t xml:space="preserve">las comunidades pueden hacer parte </w:t>
      </w:r>
      <w:r w:rsidR="008F7CAA">
        <w:rPr>
          <w:rFonts w:ascii="Verdana" w:hAnsi="Verdana"/>
          <w:sz w:val="24"/>
          <w:szCs w:val="24"/>
        </w:rPr>
        <w:t>en la transición energética justa</w:t>
      </w:r>
      <w:r w:rsidR="00E03E87">
        <w:rPr>
          <w:rFonts w:ascii="Verdana" w:hAnsi="Verdana"/>
          <w:sz w:val="24"/>
          <w:szCs w:val="24"/>
        </w:rPr>
        <w:t>, desde aspectos técnicos</w:t>
      </w:r>
      <w:r w:rsidR="00E24B9D">
        <w:rPr>
          <w:rFonts w:ascii="Verdana" w:hAnsi="Verdana"/>
          <w:sz w:val="24"/>
          <w:szCs w:val="24"/>
        </w:rPr>
        <w:t xml:space="preserve"> y ambientales</w:t>
      </w:r>
      <w:r w:rsidR="00E03E87">
        <w:rPr>
          <w:rFonts w:ascii="Verdana" w:hAnsi="Verdana"/>
          <w:sz w:val="24"/>
          <w:szCs w:val="24"/>
        </w:rPr>
        <w:t xml:space="preserve"> básicos</w:t>
      </w:r>
      <w:r w:rsidR="00BF330E">
        <w:rPr>
          <w:rFonts w:ascii="Verdana" w:hAnsi="Verdana"/>
          <w:sz w:val="24"/>
          <w:szCs w:val="24"/>
        </w:rPr>
        <w:t xml:space="preserve"> y su impacto en la reducción de combustibles fósiles </w:t>
      </w:r>
      <w:r w:rsidR="007A5170">
        <w:rPr>
          <w:rFonts w:ascii="Verdana" w:hAnsi="Verdana"/>
          <w:sz w:val="24"/>
          <w:szCs w:val="24"/>
        </w:rPr>
        <w:t>(</w:t>
      </w:r>
      <w:r w:rsidR="008F7CAA">
        <w:rPr>
          <w:rFonts w:ascii="Verdana" w:hAnsi="Verdana"/>
          <w:sz w:val="24"/>
          <w:szCs w:val="24"/>
        </w:rPr>
        <w:t>ONU, 2022)</w:t>
      </w:r>
      <w:r w:rsidR="00CB6637">
        <w:rPr>
          <w:rFonts w:ascii="Verdana" w:hAnsi="Verdana"/>
          <w:sz w:val="24"/>
          <w:szCs w:val="24"/>
        </w:rPr>
        <w:t xml:space="preserve">. </w:t>
      </w:r>
      <w:r w:rsidR="00ED67AD">
        <w:rPr>
          <w:rFonts w:ascii="Verdana" w:hAnsi="Verdana"/>
          <w:sz w:val="24"/>
          <w:szCs w:val="24"/>
        </w:rPr>
        <w:t xml:space="preserve">Así mismo plantea un escenario disruptivo </w:t>
      </w:r>
      <w:r w:rsidR="00DD0404">
        <w:rPr>
          <w:rFonts w:ascii="Verdana" w:hAnsi="Verdana"/>
          <w:sz w:val="24"/>
          <w:szCs w:val="24"/>
        </w:rPr>
        <w:t xml:space="preserve">desde lo económico-productivo al </w:t>
      </w:r>
      <w:r w:rsidR="00303267">
        <w:rPr>
          <w:rFonts w:ascii="Verdana" w:hAnsi="Verdana"/>
          <w:sz w:val="24"/>
          <w:szCs w:val="24"/>
        </w:rPr>
        <w:t xml:space="preserve">contemplar las cualificaciones para mejorar actividades agrícolas </w:t>
      </w:r>
      <w:r w:rsidR="00EE0565">
        <w:rPr>
          <w:rFonts w:ascii="Verdana" w:hAnsi="Verdana"/>
          <w:sz w:val="24"/>
          <w:szCs w:val="24"/>
        </w:rPr>
        <w:t>y de esta manera ser autogestores en sus comunidades.</w:t>
      </w:r>
    </w:p>
    <w:p w14:paraId="388B44B4" w14:textId="77777777" w:rsidR="0088503E" w:rsidRDefault="0088503E" w:rsidP="00E36931">
      <w:pPr>
        <w:spacing w:after="0"/>
        <w:ind w:firstLine="708"/>
        <w:jc w:val="both"/>
        <w:rPr>
          <w:rFonts w:ascii="Verdana" w:hAnsi="Verdana"/>
          <w:sz w:val="24"/>
          <w:szCs w:val="24"/>
        </w:rPr>
      </w:pPr>
    </w:p>
    <w:p w14:paraId="556B8898" w14:textId="72EB3502" w:rsidR="0088503E" w:rsidRDefault="0088503E" w:rsidP="00E36931">
      <w:pPr>
        <w:spacing w:after="0"/>
        <w:ind w:firstLine="708"/>
        <w:jc w:val="both"/>
        <w:rPr>
          <w:rFonts w:ascii="Verdana" w:hAnsi="Verdana"/>
          <w:sz w:val="24"/>
          <w:szCs w:val="24"/>
        </w:rPr>
      </w:pPr>
      <w:r>
        <w:rPr>
          <w:rFonts w:ascii="Verdana" w:hAnsi="Verdana"/>
          <w:sz w:val="24"/>
          <w:szCs w:val="24"/>
        </w:rPr>
        <w:t xml:space="preserve">Dada la importancia y avances </w:t>
      </w:r>
      <w:r w:rsidR="00621EB9">
        <w:rPr>
          <w:rFonts w:ascii="Verdana" w:hAnsi="Verdana"/>
          <w:sz w:val="24"/>
          <w:szCs w:val="24"/>
        </w:rPr>
        <w:t xml:space="preserve">en el concepto de transición energética, </w:t>
      </w:r>
      <w:r w:rsidR="002C1A1B">
        <w:rPr>
          <w:rFonts w:ascii="Verdana" w:hAnsi="Verdana"/>
          <w:sz w:val="24"/>
          <w:szCs w:val="24"/>
        </w:rPr>
        <w:t>res</w:t>
      </w:r>
      <w:r w:rsidR="00D71B0F">
        <w:rPr>
          <w:rFonts w:ascii="Verdana" w:hAnsi="Verdana"/>
          <w:sz w:val="24"/>
          <w:szCs w:val="24"/>
        </w:rPr>
        <w:t xml:space="preserve">ulta fundamental resaltar el concepto de </w:t>
      </w:r>
      <w:r w:rsidR="00AC2D1D">
        <w:rPr>
          <w:rFonts w:ascii="Verdana" w:hAnsi="Verdana"/>
          <w:sz w:val="24"/>
          <w:szCs w:val="24"/>
        </w:rPr>
        <w:t>“</w:t>
      </w:r>
      <w:r w:rsidR="00D71B0F">
        <w:rPr>
          <w:rFonts w:ascii="Verdana" w:hAnsi="Verdana"/>
          <w:sz w:val="24"/>
          <w:szCs w:val="24"/>
        </w:rPr>
        <w:t>gobernanza inc</w:t>
      </w:r>
      <w:r w:rsidR="00AC2D1D">
        <w:rPr>
          <w:rFonts w:ascii="Verdana" w:hAnsi="Verdana"/>
          <w:sz w:val="24"/>
          <w:szCs w:val="24"/>
        </w:rPr>
        <w:t>l</w:t>
      </w:r>
      <w:r w:rsidR="00D71B0F">
        <w:rPr>
          <w:rFonts w:ascii="Verdana" w:hAnsi="Verdana"/>
          <w:sz w:val="24"/>
          <w:szCs w:val="24"/>
        </w:rPr>
        <w:t>usiva</w:t>
      </w:r>
      <w:r w:rsidR="00AC2D1D">
        <w:rPr>
          <w:rFonts w:ascii="Verdana" w:hAnsi="Verdana"/>
          <w:sz w:val="24"/>
          <w:szCs w:val="24"/>
        </w:rPr>
        <w:t>”</w:t>
      </w:r>
      <w:r w:rsidR="004C2548">
        <w:rPr>
          <w:rFonts w:ascii="Verdana" w:hAnsi="Verdana"/>
          <w:sz w:val="24"/>
          <w:szCs w:val="24"/>
        </w:rPr>
        <w:t xml:space="preserve"> que </w:t>
      </w:r>
      <w:r w:rsidR="00F71F16">
        <w:rPr>
          <w:rFonts w:ascii="Verdana" w:hAnsi="Verdana"/>
          <w:sz w:val="24"/>
          <w:szCs w:val="24"/>
        </w:rPr>
        <w:t xml:space="preserve">desde el banco de Desarrollo de América Latina y el Caribe </w:t>
      </w:r>
      <w:r w:rsidR="00BB7ED7">
        <w:rPr>
          <w:rFonts w:ascii="Verdana" w:hAnsi="Verdana"/>
          <w:sz w:val="24"/>
          <w:szCs w:val="24"/>
        </w:rPr>
        <w:t xml:space="preserve">bien lo define como el mecanismo </w:t>
      </w:r>
      <w:r w:rsidR="003B33C8">
        <w:rPr>
          <w:rFonts w:ascii="Verdana" w:hAnsi="Verdana"/>
          <w:sz w:val="24"/>
          <w:szCs w:val="24"/>
        </w:rPr>
        <w:t xml:space="preserve">para movilizar a la región desde </w:t>
      </w:r>
      <w:r w:rsidR="00177865">
        <w:rPr>
          <w:rFonts w:ascii="Verdana" w:hAnsi="Verdana"/>
          <w:sz w:val="24"/>
          <w:szCs w:val="24"/>
        </w:rPr>
        <w:t>l</w:t>
      </w:r>
      <w:r w:rsidR="003B33C8">
        <w:rPr>
          <w:rFonts w:ascii="Verdana" w:hAnsi="Verdana"/>
          <w:sz w:val="24"/>
          <w:szCs w:val="24"/>
        </w:rPr>
        <w:t>a construcción colectiva de los mínimos de acción</w:t>
      </w:r>
      <w:r w:rsidR="0063650D">
        <w:rPr>
          <w:rFonts w:ascii="Verdana" w:hAnsi="Verdana"/>
          <w:sz w:val="24"/>
          <w:szCs w:val="24"/>
        </w:rPr>
        <w:t xml:space="preserve"> que dialoga con las </w:t>
      </w:r>
      <w:r w:rsidR="0063650D">
        <w:rPr>
          <w:rFonts w:ascii="Verdana" w:hAnsi="Verdana"/>
          <w:sz w:val="24"/>
          <w:szCs w:val="24"/>
        </w:rPr>
        <w:lastRenderedPageBreak/>
        <w:t xml:space="preserve">regiones </w:t>
      </w:r>
      <w:r w:rsidR="006467F9">
        <w:rPr>
          <w:rFonts w:ascii="Verdana" w:hAnsi="Verdana"/>
          <w:sz w:val="24"/>
          <w:szCs w:val="24"/>
        </w:rPr>
        <w:t xml:space="preserve">y que </w:t>
      </w:r>
      <w:r w:rsidR="00B16A98">
        <w:rPr>
          <w:rFonts w:ascii="Verdana" w:hAnsi="Verdana"/>
          <w:sz w:val="24"/>
          <w:szCs w:val="24"/>
        </w:rPr>
        <w:t xml:space="preserve">une esfuerzos para un bien común </w:t>
      </w:r>
      <w:r w:rsidR="00091C4F">
        <w:rPr>
          <w:rFonts w:ascii="Verdana" w:hAnsi="Verdana"/>
          <w:sz w:val="24"/>
          <w:szCs w:val="24"/>
        </w:rPr>
        <w:t>sin de</w:t>
      </w:r>
      <w:r w:rsidR="004658D0">
        <w:rPr>
          <w:rFonts w:ascii="Verdana" w:hAnsi="Verdana"/>
          <w:sz w:val="24"/>
          <w:szCs w:val="24"/>
        </w:rPr>
        <w:t xml:space="preserve">jar de lado la formación contextualizada que al ser </w:t>
      </w:r>
      <w:r w:rsidR="00D21F29">
        <w:rPr>
          <w:rFonts w:ascii="Verdana" w:hAnsi="Verdana"/>
          <w:sz w:val="24"/>
          <w:szCs w:val="24"/>
        </w:rPr>
        <w:t>pertinente permite la co</w:t>
      </w:r>
      <w:r w:rsidR="003515F4">
        <w:rPr>
          <w:rFonts w:ascii="Verdana" w:hAnsi="Verdana"/>
          <w:sz w:val="24"/>
          <w:szCs w:val="24"/>
        </w:rPr>
        <w:t>-</w:t>
      </w:r>
      <w:r w:rsidR="00D21F29">
        <w:rPr>
          <w:rFonts w:ascii="Verdana" w:hAnsi="Verdana"/>
          <w:sz w:val="24"/>
          <w:szCs w:val="24"/>
        </w:rPr>
        <w:t xml:space="preserve">construcción de políticas </w:t>
      </w:r>
      <w:r w:rsidR="003515F4">
        <w:rPr>
          <w:rFonts w:ascii="Verdana" w:hAnsi="Verdana"/>
          <w:sz w:val="24"/>
          <w:szCs w:val="24"/>
        </w:rPr>
        <w:t>públicas</w:t>
      </w:r>
      <w:r w:rsidR="00D21F29">
        <w:rPr>
          <w:rFonts w:ascii="Verdana" w:hAnsi="Verdana"/>
          <w:sz w:val="24"/>
          <w:szCs w:val="24"/>
        </w:rPr>
        <w:t xml:space="preserve"> y la identificación y replica </w:t>
      </w:r>
      <w:r w:rsidR="0024558B">
        <w:rPr>
          <w:rFonts w:ascii="Verdana" w:hAnsi="Verdana"/>
          <w:sz w:val="24"/>
          <w:szCs w:val="24"/>
        </w:rPr>
        <w:t xml:space="preserve">de experiencias comunitarias significativas que </w:t>
      </w:r>
      <w:r w:rsidR="00EB0D8C">
        <w:rPr>
          <w:rFonts w:ascii="Verdana" w:hAnsi="Verdana"/>
          <w:sz w:val="24"/>
          <w:szCs w:val="24"/>
        </w:rPr>
        <w:t>e</w:t>
      </w:r>
      <w:r w:rsidR="0024558B">
        <w:rPr>
          <w:rFonts w:ascii="Verdana" w:hAnsi="Verdana"/>
          <w:sz w:val="24"/>
          <w:szCs w:val="24"/>
        </w:rPr>
        <w:t xml:space="preserve">n este caso puedan evidenciar la </w:t>
      </w:r>
      <w:r w:rsidR="003515F4">
        <w:rPr>
          <w:rFonts w:ascii="Verdana" w:hAnsi="Verdana"/>
          <w:sz w:val="24"/>
          <w:szCs w:val="24"/>
        </w:rPr>
        <w:t>diversificación de la energía renovable en Colombia.</w:t>
      </w:r>
    </w:p>
    <w:p w14:paraId="7301274D" w14:textId="77777777" w:rsidR="00AE0912" w:rsidRDefault="00AE0912" w:rsidP="00E36931">
      <w:pPr>
        <w:spacing w:after="0"/>
        <w:ind w:firstLine="708"/>
        <w:jc w:val="both"/>
        <w:rPr>
          <w:rFonts w:ascii="Verdana" w:hAnsi="Verdana"/>
          <w:sz w:val="24"/>
          <w:szCs w:val="24"/>
        </w:rPr>
      </w:pPr>
    </w:p>
    <w:p w14:paraId="52C83826" w14:textId="77777777" w:rsidR="00AE0912" w:rsidRDefault="00AE0912" w:rsidP="00E36931">
      <w:pPr>
        <w:spacing w:after="0"/>
        <w:ind w:firstLine="708"/>
        <w:jc w:val="both"/>
        <w:rPr>
          <w:rFonts w:ascii="Verdana" w:hAnsi="Verdana"/>
          <w:sz w:val="24"/>
          <w:szCs w:val="24"/>
        </w:rPr>
      </w:pPr>
    </w:p>
    <w:p w14:paraId="3F2346DE" w14:textId="2E93F838" w:rsidR="00E71CFF" w:rsidRDefault="00E71CFF" w:rsidP="009843B1">
      <w:pPr>
        <w:ind w:firstLine="708"/>
        <w:rPr>
          <w:rFonts w:ascii="Verdana" w:hAnsi="Verdana"/>
          <w:b/>
          <w:sz w:val="24"/>
          <w:szCs w:val="24"/>
        </w:rPr>
      </w:pPr>
      <w:r w:rsidRPr="00E71CFF">
        <w:rPr>
          <w:rFonts w:ascii="Verdana" w:hAnsi="Verdana"/>
          <w:b/>
          <w:sz w:val="24"/>
          <w:szCs w:val="24"/>
        </w:rPr>
        <w:t>METODOLOGÍA.</w:t>
      </w:r>
    </w:p>
    <w:p w14:paraId="714C6631" w14:textId="54BBADF7" w:rsidR="00513DD6" w:rsidRDefault="007B391E" w:rsidP="00C57731">
      <w:pPr>
        <w:ind w:firstLine="708"/>
        <w:jc w:val="both"/>
        <w:rPr>
          <w:rFonts w:ascii="Verdana" w:hAnsi="Verdana"/>
          <w:sz w:val="24"/>
          <w:szCs w:val="24"/>
        </w:rPr>
      </w:pPr>
      <w:r>
        <w:rPr>
          <w:rFonts w:ascii="Verdana" w:hAnsi="Verdana"/>
          <w:sz w:val="24"/>
          <w:szCs w:val="24"/>
        </w:rPr>
        <w:t>La búsqueda de información</w:t>
      </w:r>
      <w:r w:rsidR="000D7719">
        <w:rPr>
          <w:rFonts w:ascii="Verdana" w:hAnsi="Verdana"/>
          <w:sz w:val="24"/>
          <w:szCs w:val="24"/>
        </w:rPr>
        <w:t xml:space="preserve"> se llev</w:t>
      </w:r>
      <w:r w:rsidR="00EB0D8C">
        <w:rPr>
          <w:rFonts w:ascii="Verdana" w:hAnsi="Verdana"/>
          <w:sz w:val="24"/>
          <w:szCs w:val="24"/>
        </w:rPr>
        <w:t>a</w:t>
      </w:r>
      <w:r w:rsidR="000D7719">
        <w:rPr>
          <w:rFonts w:ascii="Verdana" w:hAnsi="Verdana"/>
          <w:sz w:val="24"/>
          <w:szCs w:val="24"/>
        </w:rPr>
        <w:t xml:space="preserve"> a cabo en bases de datos SCOPUS y Web </w:t>
      </w:r>
      <w:proofErr w:type="spellStart"/>
      <w:r w:rsidR="000D7719">
        <w:rPr>
          <w:rFonts w:ascii="Verdana" w:hAnsi="Verdana"/>
          <w:sz w:val="24"/>
          <w:szCs w:val="24"/>
        </w:rPr>
        <w:t>of</w:t>
      </w:r>
      <w:proofErr w:type="spellEnd"/>
      <w:r w:rsidR="000D7719">
        <w:rPr>
          <w:rFonts w:ascii="Verdana" w:hAnsi="Verdana"/>
          <w:sz w:val="24"/>
          <w:szCs w:val="24"/>
        </w:rPr>
        <w:t xml:space="preserve"> </w:t>
      </w:r>
      <w:proofErr w:type="spellStart"/>
      <w:r w:rsidR="000D7719">
        <w:rPr>
          <w:rFonts w:ascii="Verdana" w:hAnsi="Verdana"/>
          <w:sz w:val="24"/>
          <w:szCs w:val="24"/>
        </w:rPr>
        <w:t>Science</w:t>
      </w:r>
      <w:proofErr w:type="spellEnd"/>
      <w:r w:rsidR="000D7719">
        <w:rPr>
          <w:rFonts w:ascii="Verdana" w:hAnsi="Verdana"/>
          <w:sz w:val="24"/>
          <w:szCs w:val="24"/>
        </w:rPr>
        <w:t xml:space="preserve"> </w:t>
      </w:r>
      <w:r w:rsidR="009A1AFC">
        <w:rPr>
          <w:rFonts w:ascii="Verdana" w:hAnsi="Verdana"/>
          <w:sz w:val="24"/>
          <w:szCs w:val="24"/>
        </w:rPr>
        <w:t>siguiendo</w:t>
      </w:r>
      <w:r w:rsidR="003F0547">
        <w:rPr>
          <w:rFonts w:ascii="Verdana" w:hAnsi="Verdana"/>
          <w:sz w:val="24"/>
          <w:szCs w:val="24"/>
        </w:rPr>
        <w:t xml:space="preserve"> </w:t>
      </w:r>
      <w:r w:rsidR="009A1AFC" w:rsidRPr="009A1AFC">
        <w:rPr>
          <w:rFonts w:ascii="Verdana" w:hAnsi="Verdana"/>
          <w:sz w:val="24"/>
          <w:szCs w:val="24"/>
        </w:rPr>
        <w:t xml:space="preserve">la metodología PRISMA- </w:t>
      </w:r>
      <w:proofErr w:type="spellStart"/>
      <w:r w:rsidR="009A1AFC" w:rsidRPr="009A1AFC">
        <w:rPr>
          <w:rFonts w:ascii="Verdana" w:hAnsi="Verdana"/>
          <w:sz w:val="24"/>
          <w:szCs w:val="24"/>
        </w:rPr>
        <w:t>Preferred</w:t>
      </w:r>
      <w:proofErr w:type="spellEnd"/>
      <w:r w:rsidR="009A1AFC" w:rsidRPr="009A1AFC">
        <w:rPr>
          <w:rFonts w:ascii="Verdana" w:hAnsi="Verdana"/>
          <w:sz w:val="24"/>
          <w:szCs w:val="24"/>
        </w:rPr>
        <w:t xml:space="preserve"> </w:t>
      </w:r>
      <w:proofErr w:type="spellStart"/>
      <w:r w:rsidR="009A1AFC" w:rsidRPr="009A1AFC">
        <w:rPr>
          <w:rFonts w:ascii="Verdana" w:hAnsi="Verdana"/>
          <w:sz w:val="24"/>
          <w:szCs w:val="24"/>
        </w:rPr>
        <w:t>Reporting</w:t>
      </w:r>
      <w:proofErr w:type="spellEnd"/>
      <w:r w:rsidR="009A1AFC" w:rsidRPr="009A1AFC">
        <w:rPr>
          <w:rFonts w:ascii="Verdana" w:hAnsi="Verdana"/>
          <w:sz w:val="24"/>
          <w:szCs w:val="24"/>
        </w:rPr>
        <w:t xml:space="preserve"> </w:t>
      </w:r>
      <w:proofErr w:type="spellStart"/>
      <w:r w:rsidR="009A1AFC" w:rsidRPr="009A1AFC">
        <w:rPr>
          <w:rFonts w:ascii="Verdana" w:hAnsi="Verdana"/>
          <w:sz w:val="24"/>
          <w:szCs w:val="24"/>
        </w:rPr>
        <w:t>Items</w:t>
      </w:r>
      <w:proofErr w:type="spellEnd"/>
      <w:r w:rsidR="009A1AFC" w:rsidRPr="009A1AFC">
        <w:rPr>
          <w:rFonts w:ascii="Verdana" w:hAnsi="Verdana"/>
          <w:sz w:val="24"/>
          <w:szCs w:val="24"/>
        </w:rPr>
        <w:t xml:space="preserve"> </w:t>
      </w:r>
      <w:proofErr w:type="spellStart"/>
      <w:r w:rsidR="009A1AFC" w:rsidRPr="009A1AFC">
        <w:rPr>
          <w:rFonts w:ascii="Verdana" w:hAnsi="Verdana"/>
          <w:sz w:val="24"/>
          <w:szCs w:val="24"/>
        </w:rPr>
        <w:t>for</w:t>
      </w:r>
      <w:proofErr w:type="spellEnd"/>
      <w:r w:rsidR="009A1AFC" w:rsidRPr="009A1AFC">
        <w:rPr>
          <w:rFonts w:ascii="Verdana" w:hAnsi="Verdana"/>
          <w:sz w:val="24"/>
          <w:szCs w:val="24"/>
        </w:rPr>
        <w:t xml:space="preserve"> </w:t>
      </w:r>
      <w:proofErr w:type="spellStart"/>
      <w:r w:rsidR="009A1AFC" w:rsidRPr="009A1AFC">
        <w:rPr>
          <w:rFonts w:ascii="Verdana" w:hAnsi="Verdana"/>
          <w:sz w:val="24"/>
          <w:szCs w:val="24"/>
        </w:rPr>
        <w:t>Systematic</w:t>
      </w:r>
      <w:proofErr w:type="spellEnd"/>
      <w:r w:rsidR="009A1AFC" w:rsidRPr="009A1AFC">
        <w:rPr>
          <w:rFonts w:ascii="Verdana" w:hAnsi="Verdana"/>
          <w:sz w:val="24"/>
          <w:szCs w:val="24"/>
        </w:rPr>
        <w:t xml:space="preserve"> </w:t>
      </w:r>
      <w:proofErr w:type="spellStart"/>
      <w:r w:rsidR="009A1AFC" w:rsidRPr="009A1AFC">
        <w:rPr>
          <w:rFonts w:ascii="Verdana" w:hAnsi="Verdana"/>
          <w:sz w:val="24"/>
          <w:szCs w:val="24"/>
        </w:rPr>
        <w:t>Reviews</w:t>
      </w:r>
      <w:proofErr w:type="spellEnd"/>
      <w:r w:rsidR="009A1AFC" w:rsidRPr="009A1AFC">
        <w:rPr>
          <w:rFonts w:ascii="Verdana" w:hAnsi="Verdana"/>
          <w:sz w:val="24"/>
          <w:szCs w:val="24"/>
        </w:rPr>
        <w:t xml:space="preserve"> and Meta-</w:t>
      </w:r>
      <w:proofErr w:type="spellStart"/>
      <w:r w:rsidR="009A1AFC" w:rsidRPr="009A1AFC">
        <w:rPr>
          <w:rFonts w:ascii="Verdana" w:hAnsi="Verdana"/>
          <w:sz w:val="24"/>
          <w:szCs w:val="24"/>
        </w:rPr>
        <w:t>Analysis</w:t>
      </w:r>
      <w:proofErr w:type="spellEnd"/>
      <w:r w:rsidR="009A1AFC" w:rsidRPr="009A1AFC">
        <w:rPr>
          <w:rFonts w:ascii="Verdana" w:hAnsi="Verdana"/>
          <w:sz w:val="24"/>
          <w:szCs w:val="24"/>
        </w:rPr>
        <w:t xml:space="preserve"> (Urrutia &amp; </w:t>
      </w:r>
      <w:proofErr w:type="spellStart"/>
      <w:r w:rsidR="009A1AFC" w:rsidRPr="009A1AFC">
        <w:rPr>
          <w:rFonts w:ascii="Verdana" w:hAnsi="Verdana"/>
          <w:sz w:val="24"/>
          <w:szCs w:val="24"/>
        </w:rPr>
        <w:t>Bonfill</w:t>
      </w:r>
      <w:proofErr w:type="spellEnd"/>
      <w:r w:rsidR="009A1AFC" w:rsidRPr="009A1AFC">
        <w:rPr>
          <w:rFonts w:ascii="Verdana" w:hAnsi="Verdana"/>
          <w:sz w:val="24"/>
          <w:szCs w:val="24"/>
        </w:rPr>
        <w:t>, 2010) (Figura 1</w:t>
      </w:r>
      <w:r w:rsidR="009A1AFC">
        <w:rPr>
          <w:rFonts w:ascii="Verdana" w:hAnsi="Verdana"/>
          <w:sz w:val="24"/>
          <w:szCs w:val="24"/>
        </w:rPr>
        <w:t xml:space="preserve">) </w:t>
      </w:r>
      <w:r w:rsidR="000D7719">
        <w:rPr>
          <w:rFonts w:ascii="Verdana" w:hAnsi="Verdana"/>
          <w:sz w:val="24"/>
          <w:szCs w:val="24"/>
        </w:rPr>
        <w:t>bajo el algoritmo</w:t>
      </w:r>
      <w:r w:rsidR="00C57731">
        <w:rPr>
          <w:rFonts w:ascii="Verdana" w:hAnsi="Verdana"/>
          <w:sz w:val="24"/>
          <w:szCs w:val="24"/>
        </w:rPr>
        <w:t xml:space="preserve">: </w:t>
      </w:r>
      <w:r w:rsidR="00513DD6" w:rsidRPr="00513DD6">
        <w:rPr>
          <w:rFonts w:ascii="Verdana" w:hAnsi="Verdana"/>
          <w:sz w:val="24"/>
          <w:szCs w:val="24"/>
        </w:rPr>
        <w:t>("</w:t>
      </w:r>
      <w:proofErr w:type="spellStart"/>
      <w:r w:rsidR="00513DD6" w:rsidRPr="00513DD6">
        <w:rPr>
          <w:rFonts w:ascii="Verdana" w:hAnsi="Verdana"/>
          <w:sz w:val="24"/>
          <w:szCs w:val="24"/>
        </w:rPr>
        <w:t>energy</w:t>
      </w:r>
      <w:proofErr w:type="spellEnd"/>
      <w:r w:rsidR="00513DD6" w:rsidRPr="00513DD6">
        <w:rPr>
          <w:rFonts w:ascii="Verdana" w:hAnsi="Verdana"/>
          <w:sz w:val="24"/>
          <w:szCs w:val="24"/>
        </w:rPr>
        <w:t xml:space="preserve"> </w:t>
      </w:r>
      <w:proofErr w:type="spellStart"/>
      <w:r w:rsidR="00513DD6" w:rsidRPr="00513DD6">
        <w:rPr>
          <w:rFonts w:ascii="Verdana" w:hAnsi="Verdana"/>
          <w:sz w:val="24"/>
          <w:szCs w:val="24"/>
        </w:rPr>
        <w:t>transition</w:t>
      </w:r>
      <w:proofErr w:type="spellEnd"/>
      <w:r w:rsidR="00513DD6" w:rsidRPr="00513DD6">
        <w:rPr>
          <w:rFonts w:ascii="Verdana" w:hAnsi="Verdana"/>
          <w:sz w:val="24"/>
          <w:szCs w:val="24"/>
        </w:rPr>
        <w:t>" OR "</w:t>
      </w:r>
      <w:proofErr w:type="spellStart"/>
      <w:r w:rsidR="00513DD6" w:rsidRPr="00513DD6">
        <w:rPr>
          <w:rFonts w:ascii="Verdana" w:hAnsi="Verdana"/>
          <w:sz w:val="24"/>
          <w:szCs w:val="24"/>
        </w:rPr>
        <w:t>energy</w:t>
      </w:r>
      <w:proofErr w:type="spellEnd"/>
      <w:r w:rsidR="00513DD6" w:rsidRPr="00513DD6">
        <w:rPr>
          <w:rFonts w:ascii="Verdana" w:hAnsi="Verdana"/>
          <w:sz w:val="24"/>
          <w:szCs w:val="24"/>
        </w:rPr>
        <w:t xml:space="preserve"> shift" OR "</w:t>
      </w:r>
      <w:proofErr w:type="spellStart"/>
      <w:r w:rsidR="00513DD6" w:rsidRPr="00513DD6">
        <w:rPr>
          <w:rFonts w:ascii="Verdana" w:hAnsi="Verdana"/>
          <w:sz w:val="24"/>
          <w:szCs w:val="24"/>
        </w:rPr>
        <w:t>energy</w:t>
      </w:r>
      <w:proofErr w:type="spellEnd"/>
      <w:r w:rsidR="00513DD6" w:rsidRPr="00513DD6">
        <w:rPr>
          <w:rFonts w:ascii="Verdana" w:hAnsi="Verdana"/>
          <w:sz w:val="24"/>
          <w:szCs w:val="24"/>
        </w:rPr>
        <w:t xml:space="preserve"> </w:t>
      </w:r>
      <w:proofErr w:type="spellStart"/>
      <w:r w:rsidR="00513DD6" w:rsidRPr="00513DD6">
        <w:rPr>
          <w:rFonts w:ascii="Verdana" w:hAnsi="Verdana"/>
          <w:sz w:val="24"/>
          <w:szCs w:val="24"/>
        </w:rPr>
        <w:t>change</w:t>
      </w:r>
      <w:proofErr w:type="spellEnd"/>
      <w:r w:rsidR="00513DD6" w:rsidRPr="00513DD6">
        <w:rPr>
          <w:rFonts w:ascii="Verdana" w:hAnsi="Verdana"/>
          <w:sz w:val="24"/>
          <w:szCs w:val="24"/>
        </w:rPr>
        <w:t>" OR "</w:t>
      </w:r>
      <w:proofErr w:type="spellStart"/>
      <w:r w:rsidR="00513DD6" w:rsidRPr="00513DD6">
        <w:rPr>
          <w:rFonts w:ascii="Verdana" w:hAnsi="Verdana"/>
          <w:sz w:val="24"/>
          <w:szCs w:val="24"/>
        </w:rPr>
        <w:t>energy</w:t>
      </w:r>
      <w:proofErr w:type="spellEnd"/>
      <w:r w:rsidR="00513DD6" w:rsidRPr="00513DD6">
        <w:rPr>
          <w:rFonts w:ascii="Verdana" w:hAnsi="Verdana"/>
          <w:sz w:val="24"/>
          <w:szCs w:val="24"/>
        </w:rPr>
        <w:t xml:space="preserve"> </w:t>
      </w:r>
      <w:proofErr w:type="spellStart"/>
      <w:r w:rsidR="00513DD6" w:rsidRPr="00513DD6">
        <w:rPr>
          <w:rFonts w:ascii="Verdana" w:hAnsi="Verdana"/>
          <w:sz w:val="24"/>
          <w:szCs w:val="24"/>
        </w:rPr>
        <w:t>transformation</w:t>
      </w:r>
      <w:proofErr w:type="spellEnd"/>
      <w:r w:rsidR="00513DD6" w:rsidRPr="00513DD6">
        <w:rPr>
          <w:rFonts w:ascii="Verdana" w:hAnsi="Verdana"/>
          <w:sz w:val="24"/>
          <w:szCs w:val="24"/>
        </w:rPr>
        <w:t>") AND ("</w:t>
      </w:r>
      <w:proofErr w:type="spellStart"/>
      <w:r w:rsidR="00513DD6" w:rsidRPr="00513DD6">
        <w:rPr>
          <w:rFonts w:ascii="Verdana" w:hAnsi="Verdana"/>
          <w:sz w:val="24"/>
          <w:szCs w:val="24"/>
        </w:rPr>
        <w:t>renewable</w:t>
      </w:r>
      <w:proofErr w:type="spellEnd"/>
      <w:r w:rsidR="00513DD6" w:rsidRPr="00513DD6">
        <w:rPr>
          <w:rFonts w:ascii="Verdana" w:hAnsi="Verdana"/>
          <w:sz w:val="24"/>
          <w:szCs w:val="24"/>
        </w:rPr>
        <w:t xml:space="preserve"> </w:t>
      </w:r>
      <w:proofErr w:type="spellStart"/>
      <w:r w:rsidR="00513DD6" w:rsidRPr="00513DD6">
        <w:rPr>
          <w:rFonts w:ascii="Verdana" w:hAnsi="Verdana"/>
          <w:sz w:val="24"/>
          <w:szCs w:val="24"/>
        </w:rPr>
        <w:t>energy</w:t>
      </w:r>
      <w:proofErr w:type="spellEnd"/>
      <w:r w:rsidR="00513DD6" w:rsidRPr="00513DD6">
        <w:rPr>
          <w:rFonts w:ascii="Verdana" w:hAnsi="Verdana"/>
          <w:sz w:val="24"/>
          <w:szCs w:val="24"/>
        </w:rPr>
        <w:t>" OR "</w:t>
      </w:r>
      <w:proofErr w:type="spellStart"/>
      <w:r w:rsidR="00513DD6" w:rsidRPr="00513DD6">
        <w:rPr>
          <w:rFonts w:ascii="Verdana" w:hAnsi="Verdana"/>
          <w:sz w:val="24"/>
          <w:szCs w:val="24"/>
        </w:rPr>
        <w:t>sustainable</w:t>
      </w:r>
      <w:proofErr w:type="spellEnd"/>
      <w:r w:rsidR="00513DD6" w:rsidRPr="00513DD6">
        <w:rPr>
          <w:rFonts w:ascii="Verdana" w:hAnsi="Verdana"/>
          <w:sz w:val="24"/>
          <w:szCs w:val="24"/>
        </w:rPr>
        <w:t xml:space="preserve"> </w:t>
      </w:r>
      <w:proofErr w:type="spellStart"/>
      <w:r w:rsidR="00513DD6" w:rsidRPr="00513DD6">
        <w:rPr>
          <w:rFonts w:ascii="Verdana" w:hAnsi="Verdana"/>
          <w:sz w:val="24"/>
          <w:szCs w:val="24"/>
        </w:rPr>
        <w:t>energy</w:t>
      </w:r>
      <w:proofErr w:type="spellEnd"/>
      <w:r w:rsidR="00513DD6" w:rsidRPr="00513DD6">
        <w:rPr>
          <w:rFonts w:ascii="Verdana" w:hAnsi="Verdana"/>
          <w:sz w:val="24"/>
          <w:szCs w:val="24"/>
        </w:rPr>
        <w:t>" OR "</w:t>
      </w:r>
      <w:proofErr w:type="spellStart"/>
      <w:r w:rsidR="00513DD6" w:rsidRPr="00513DD6">
        <w:rPr>
          <w:rFonts w:ascii="Verdana" w:hAnsi="Verdana"/>
          <w:sz w:val="24"/>
          <w:szCs w:val="24"/>
        </w:rPr>
        <w:t>clean</w:t>
      </w:r>
      <w:proofErr w:type="spellEnd"/>
      <w:r w:rsidR="00513DD6" w:rsidRPr="00513DD6">
        <w:rPr>
          <w:rFonts w:ascii="Verdana" w:hAnsi="Verdana"/>
          <w:sz w:val="24"/>
          <w:szCs w:val="24"/>
        </w:rPr>
        <w:t xml:space="preserve"> </w:t>
      </w:r>
      <w:proofErr w:type="spellStart"/>
      <w:r w:rsidR="00513DD6" w:rsidRPr="00513DD6">
        <w:rPr>
          <w:rFonts w:ascii="Verdana" w:hAnsi="Verdana"/>
          <w:sz w:val="24"/>
          <w:szCs w:val="24"/>
        </w:rPr>
        <w:t>energy</w:t>
      </w:r>
      <w:proofErr w:type="spellEnd"/>
      <w:r w:rsidR="00513DD6" w:rsidRPr="00513DD6">
        <w:rPr>
          <w:rFonts w:ascii="Verdana" w:hAnsi="Verdana"/>
          <w:sz w:val="24"/>
          <w:szCs w:val="24"/>
        </w:rPr>
        <w:t xml:space="preserve">" OR "alternative </w:t>
      </w:r>
      <w:proofErr w:type="spellStart"/>
      <w:r w:rsidR="00513DD6" w:rsidRPr="00513DD6">
        <w:rPr>
          <w:rFonts w:ascii="Verdana" w:hAnsi="Verdana"/>
          <w:sz w:val="24"/>
          <w:szCs w:val="24"/>
        </w:rPr>
        <w:t>energy</w:t>
      </w:r>
      <w:proofErr w:type="spellEnd"/>
      <w:r w:rsidR="00513DD6" w:rsidRPr="00513DD6">
        <w:rPr>
          <w:rFonts w:ascii="Verdana" w:hAnsi="Verdana"/>
          <w:sz w:val="24"/>
          <w:szCs w:val="24"/>
        </w:rPr>
        <w:t>") AND ("</w:t>
      </w:r>
      <w:proofErr w:type="spellStart"/>
      <w:r w:rsidR="00513DD6" w:rsidRPr="00513DD6">
        <w:rPr>
          <w:rFonts w:ascii="Verdana" w:hAnsi="Verdana"/>
          <w:sz w:val="24"/>
          <w:szCs w:val="24"/>
        </w:rPr>
        <w:t>policy</w:t>
      </w:r>
      <w:proofErr w:type="spellEnd"/>
      <w:r w:rsidR="00513DD6" w:rsidRPr="00513DD6">
        <w:rPr>
          <w:rFonts w:ascii="Verdana" w:hAnsi="Verdana"/>
          <w:sz w:val="24"/>
          <w:szCs w:val="24"/>
        </w:rPr>
        <w:t>" OR "</w:t>
      </w:r>
      <w:proofErr w:type="spellStart"/>
      <w:r w:rsidR="00513DD6" w:rsidRPr="00513DD6">
        <w:rPr>
          <w:rFonts w:ascii="Verdana" w:hAnsi="Verdana"/>
          <w:sz w:val="24"/>
          <w:szCs w:val="24"/>
        </w:rPr>
        <w:t>regulation</w:t>
      </w:r>
      <w:proofErr w:type="spellEnd"/>
      <w:r w:rsidR="00513DD6" w:rsidRPr="00513DD6">
        <w:rPr>
          <w:rFonts w:ascii="Verdana" w:hAnsi="Verdana"/>
          <w:sz w:val="24"/>
          <w:szCs w:val="24"/>
        </w:rPr>
        <w:t>" OR "</w:t>
      </w:r>
      <w:proofErr w:type="spellStart"/>
      <w:r w:rsidR="00513DD6" w:rsidRPr="00513DD6">
        <w:rPr>
          <w:rFonts w:ascii="Verdana" w:hAnsi="Verdana"/>
          <w:sz w:val="24"/>
          <w:szCs w:val="24"/>
        </w:rPr>
        <w:t>framework</w:t>
      </w:r>
      <w:proofErr w:type="spellEnd"/>
      <w:r w:rsidR="00513DD6" w:rsidRPr="00513DD6">
        <w:rPr>
          <w:rFonts w:ascii="Verdana" w:hAnsi="Verdana"/>
          <w:sz w:val="24"/>
          <w:szCs w:val="24"/>
        </w:rPr>
        <w:t>" OR "</w:t>
      </w:r>
      <w:proofErr w:type="spellStart"/>
      <w:r w:rsidR="00513DD6" w:rsidRPr="00513DD6">
        <w:rPr>
          <w:rFonts w:ascii="Verdana" w:hAnsi="Verdana"/>
          <w:sz w:val="24"/>
          <w:szCs w:val="24"/>
        </w:rPr>
        <w:t>strategy</w:t>
      </w:r>
      <w:proofErr w:type="spellEnd"/>
      <w:r w:rsidR="00513DD6" w:rsidRPr="00513DD6">
        <w:rPr>
          <w:rFonts w:ascii="Verdana" w:hAnsi="Verdana"/>
          <w:sz w:val="24"/>
          <w:szCs w:val="24"/>
        </w:rPr>
        <w:t>") AND ("</w:t>
      </w:r>
      <w:proofErr w:type="spellStart"/>
      <w:r w:rsidR="00513DD6" w:rsidRPr="00513DD6">
        <w:rPr>
          <w:rFonts w:ascii="Verdana" w:hAnsi="Verdana"/>
          <w:sz w:val="24"/>
          <w:szCs w:val="24"/>
        </w:rPr>
        <w:t>decarbonization</w:t>
      </w:r>
      <w:proofErr w:type="spellEnd"/>
      <w:r w:rsidR="00513DD6" w:rsidRPr="00513DD6">
        <w:rPr>
          <w:rFonts w:ascii="Verdana" w:hAnsi="Verdana"/>
          <w:sz w:val="24"/>
          <w:szCs w:val="24"/>
        </w:rPr>
        <w:t>" OR "</w:t>
      </w:r>
      <w:proofErr w:type="spellStart"/>
      <w:r w:rsidR="00513DD6" w:rsidRPr="00513DD6">
        <w:rPr>
          <w:rFonts w:ascii="Verdana" w:hAnsi="Verdana"/>
          <w:sz w:val="24"/>
          <w:szCs w:val="24"/>
        </w:rPr>
        <w:t>carbon</w:t>
      </w:r>
      <w:proofErr w:type="spellEnd"/>
      <w:r w:rsidR="00513DD6" w:rsidRPr="00513DD6">
        <w:rPr>
          <w:rFonts w:ascii="Verdana" w:hAnsi="Verdana"/>
          <w:sz w:val="24"/>
          <w:szCs w:val="24"/>
        </w:rPr>
        <w:t xml:space="preserve"> </w:t>
      </w:r>
      <w:proofErr w:type="spellStart"/>
      <w:r w:rsidR="00513DD6" w:rsidRPr="00513DD6">
        <w:rPr>
          <w:rFonts w:ascii="Verdana" w:hAnsi="Verdana"/>
          <w:sz w:val="24"/>
          <w:szCs w:val="24"/>
        </w:rPr>
        <w:t>reduction</w:t>
      </w:r>
      <w:proofErr w:type="spellEnd"/>
      <w:r w:rsidR="00513DD6" w:rsidRPr="00513DD6">
        <w:rPr>
          <w:rFonts w:ascii="Verdana" w:hAnsi="Verdana"/>
          <w:sz w:val="24"/>
          <w:szCs w:val="24"/>
        </w:rPr>
        <w:t>" OR "</w:t>
      </w:r>
      <w:proofErr w:type="spellStart"/>
      <w:r w:rsidR="00513DD6" w:rsidRPr="00513DD6">
        <w:rPr>
          <w:rFonts w:ascii="Verdana" w:hAnsi="Verdana"/>
          <w:sz w:val="24"/>
          <w:szCs w:val="24"/>
        </w:rPr>
        <w:t>emission</w:t>
      </w:r>
      <w:proofErr w:type="spellEnd"/>
      <w:r w:rsidR="00513DD6" w:rsidRPr="00513DD6">
        <w:rPr>
          <w:rFonts w:ascii="Verdana" w:hAnsi="Verdana"/>
          <w:sz w:val="24"/>
          <w:szCs w:val="24"/>
        </w:rPr>
        <w:t xml:space="preserve"> </w:t>
      </w:r>
      <w:proofErr w:type="spellStart"/>
      <w:r w:rsidR="00513DD6" w:rsidRPr="00513DD6">
        <w:rPr>
          <w:rFonts w:ascii="Verdana" w:hAnsi="Verdana"/>
          <w:sz w:val="24"/>
          <w:szCs w:val="24"/>
        </w:rPr>
        <w:t>reduction</w:t>
      </w:r>
      <w:proofErr w:type="spellEnd"/>
      <w:r w:rsidR="00513DD6" w:rsidRPr="00513DD6">
        <w:rPr>
          <w:rFonts w:ascii="Verdana" w:hAnsi="Verdana"/>
          <w:sz w:val="24"/>
          <w:szCs w:val="24"/>
        </w:rPr>
        <w:t>" OR "</w:t>
      </w:r>
      <w:proofErr w:type="spellStart"/>
      <w:r w:rsidR="00513DD6" w:rsidRPr="00513DD6">
        <w:rPr>
          <w:rFonts w:ascii="Verdana" w:hAnsi="Verdana"/>
          <w:sz w:val="24"/>
          <w:szCs w:val="24"/>
        </w:rPr>
        <w:t>climate</w:t>
      </w:r>
      <w:proofErr w:type="spellEnd"/>
      <w:r w:rsidR="00513DD6" w:rsidRPr="00513DD6">
        <w:rPr>
          <w:rFonts w:ascii="Verdana" w:hAnsi="Verdana"/>
          <w:sz w:val="24"/>
          <w:szCs w:val="24"/>
        </w:rPr>
        <w:t xml:space="preserve"> </w:t>
      </w:r>
      <w:proofErr w:type="spellStart"/>
      <w:r w:rsidR="00513DD6" w:rsidRPr="00513DD6">
        <w:rPr>
          <w:rFonts w:ascii="Verdana" w:hAnsi="Verdana"/>
          <w:sz w:val="24"/>
          <w:szCs w:val="24"/>
        </w:rPr>
        <w:t>action</w:t>
      </w:r>
      <w:proofErr w:type="spellEnd"/>
      <w:r w:rsidR="00513DD6" w:rsidRPr="00513DD6">
        <w:rPr>
          <w:rFonts w:ascii="Verdana" w:hAnsi="Verdana"/>
          <w:sz w:val="24"/>
          <w:szCs w:val="24"/>
        </w:rPr>
        <w:t>") AND ("</w:t>
      </w:r>
      <w:proofErr w:type="spellStart"/>
      <w:r w:rsidR="00513DD6" w:rsidRPr="00513DD6">
        <w:rPr>
          <w:rFonts w:ascii="Verdana" w:hAnsi="Verdana"/>
          <w:sz w:val="24"/>
          <w:szCs w:val="24"/>
        </w:rPr>
        <w:t>technology</w:t>
      </w:r>
      <w:proofErr w:type="spellEnd"/>
      <w:r w:rsidR="00513DD6" w:rsidRPr="00513DD6">
        <w:rPr>
          <w:rFonts w:ascii="Verdana" w:hAnsi="Verdana"/>
          <w:sz w:val="24"/>
          <w:szCs w:val="24"/>
        </w:rPr>
        <w:t>" OR "</w:t>
      </w:r>
      <w:proofErr w:type="spellStart"/>
      <w:r w:rsidR="00513DD6" w:rsidRPr="00513DD6">
        <w:rPr>
          <w:rFonts w:ascii="Verdana" w:hAnsi="Verdana"/>
          <w:sz w:val="24"/>
          <w:szCs w:val="24"/>
        </w:rPr>
        <w:t>innovation</w:t>
      </w:r>
      <w:proofErr w:type="spellEnd"/>
      <w:r w:rsidR="00513DD6" w:rsidRPr="00513DD6">
        <w:rPr>
          <w:rFonts w:ascii="Verdana" w:hAnsi="Verdana"/>
          <w:sz w:val="24"/>
          <w:szCs w:val="24"/>
        </w:rPr>
        <w:t>" OR "</w:t>
      </w:r>
      <w:proofErr w:type="spellStart"/>
      <w:r w:rsidR="00513DD6" w:rsidRPr="00513DD6">
        <w:rPr>
          <w:rFonts w:ascii="Verdana" w:hAnsi="Verdana"/>
          <w:sz w:val="24"/>
          <w:szCs w:val="24"/>
        </w:rPr>
        <w:t>advancement</w:t>
      </w:r>
      <w:proofErr w:type="spellEnd"/>
      <w:r w:rsidR="00513DD6" w:rsidRPr="00513DD6">
        <w:rPr>
          <w:rFonts w:ascii="Verdana" w:hAnsi="Verdana"/>
          <w:sz w:val="24"/>
          <w:szCs w:val="24"/>
        </w:rPr>
        <w:t>" OR "</w:t>
      </w:r>
      <w:proofErr w:type="spellStart"/>
      <w:r w:rsidR="00513DD6" w:rsidRPr="00513DD6">
        <w:rPr>
          <w:rFonts w:ascii="Verdana" w:hAnsi="Verdana"/>
          <w:sz w:val="24"/>
          <w:szCs w:val="24"/>
        </w:rPr>
        <w:t>development</w:t>
      </w:r>
      <w:proofErr w:type="spellEnd"/>
      <w:r w:rsidR="00513DD6" w:rsidRPr="00513DD6">
        <w:rPr>
          <w:rFonts w:ascii="Verdana" w:hAnsi="Verdana"/>
          <w:sz w:val="24"/>
          <w:szCs w:val="24"/>
        </w:rPr>
        <w:t>") AND ("</w:t>
      </w:r>
      <w:proofErr w:type="spellStart"/>
      <w:r w:rsidR="00513DD6" w:rsidRPr="00513DD6">
        <w:rPr>
          <w:rFonts w:ascii="Verdana" w:hAnsi="Verdana"/>
          <w:sz w:val="24"/>
          <w:szCs w:val="24"/>
        </w:rPr>
        <w:t>electricity</w:t>
      </w:r>
      <w:proofErr w:type="spellEnd"/>
      <w:r w:rsidR="00513DD6" w:rsidRPr="00513DD6">
        <w:rPr>
          <w:rFonts w:ascii="Verdana" w:hAnsi="Verdana"/>
          <w:sz w:val="24"/>
          <w:szCs w:val="24"/>
        </w:rPr>
        <w:t>" OR "</w:t>
      </w:r>
      <w:proofErr w:type="spellStart"/>
      <w:r w:rsidR="00513DD6" w:rsidRPr="00513DD6">
        <w:rPr>
          <w:rFonts w:ascii="Verdana" w:hAnsi="Verdana"/>
          <w:sz w:val="24"/>
          <w:szCs w:val="24"/>
        </w:rPr>
        <w:t>power</w:t>
      </w:r>
      <w:proofErr w:type="spellEnd"/>
      <w:r w:rsidR="00513DD6" w:rsidRPr="00513DD6">
        <w:rPr>
          <w:rFonts w:ascii="Verdana" w:hAnsi="Verdana"/>
          <w:sz w:val="24"/>
          <w:szCs w:val="24"/>
        </w:rPr>
        <w:t>" OR "</w:t>
      </w:r>
      <w:proofErr w:type="spellStart"/>
      <w:r w:rsidR="00513DD6" w:rsidRPr="00513DD6">
        <w:rPr>
          <w:rFonts w:ascii="Verdana" w:hAnsi="Verdana"/>
          <w:sz w:val="24"/>
          <w:szCs w:val="24"/>
        </w:rPr>
        <w:t>grid</w:t>
      </w:r>
      <w:proofErr w:type="spellEnd"/>
      <w:r w:rsidR="00513DD6" w:rsidRPr="00513DD6">
        <w:rPr>
          <w:rFonts w:ascii="Verdana" w:hAnsi="Verdana"/>
          <w:sz w:val="24"/>
          <w:szCs w:val="24"/>
        </w:rPr>
        <w:t>" OR "</w:t>
      </w:r>
      <w:proofErr w:type="spellStart"/>
      <w:r w:rsidR="00513DD6" w:rsidRPr="00513DD6">
        <w:rPr>
          <w:rFonts w:ascii="Verdana" w:hAnsi="Verdana"/>
          <w:sz w:val="24"/>
          <w:szCs w:val="24"/>
        </w:rPr>
        <w:t>infrastructure</w:t>
      </w:r>
      <w:proofErr w:type="spellEnd"/>
      <w:r w:rsidR="00513DD6" w:rsidRPr="00513DD6">
        <w:rPr>
          <w:rFonts w:ascii="Verdana" w:hAnsi="Verdana"/>
          <w:sz w:val="24"/>
          <w:szCs w:val="24"/>
        </w:rPr>
        <w:t>") AND ("</w:t>
      </w:r>
      <w:proofErr w:type="spellStart"/>
      <w:r w:rsidR="00513DD6" w:rsidRPr="00513DD6">
        <w:rPr>
          <w:rFonts w:ascii="Verdana" w:hAnsi="Verdana"/>
          <w:sz w:val="24"/>
          <w:szCs w:val="24"/>
        </w:rPr>
        <w:t>efficiency</w:t>
      </w:r>
      <w:proofErr w:type="spellEnd"/>
      <w:r w:rsidR="00513DD6" w:rsidRPr="00513DD6">
        <w:rPr>
          <w:rFonts w:ascii="Verdana" w:hAnsi="Verdana"/>
          <w:sz w:val="24"/>
          <w:szCs w:val="24"/>
        </w:rPr>
        <w:t>" OR "</w:t>
      </w:r>
      <w:proofErr w:type="spellStart"/>
      <w:r w:rsidR="00513DD6" w:rsidRPr="00513DD6">
        <w:rPr>
          <w:rFonts w:ascii="Verdana" w:hAnsi="Verdana"/>
          <w:sz w:val="24"/>
          <w:szCs w:val="24"/>
        </w:rPr>
        <w:t>conservation</w:t>
      </w:r>
      <w:proofErr w:type="spellEnd"/>
      <w:r w:rsidR="00513DD6" w:rsidRPr="00513DD6">
        <w:rPr>
          <w:rFonts w:ascii="Verdana" w:hAnsi="Verdana"/>
          <w:sz w:val="24"/>
          <w:szCs w:val="24"/>
        </w:rPr>
        <w:t>" OR "</w:t>
      </w:r>
      <w:proofErr w:type="spellStart"/>
      <w:r w:rsidR="00513DD6" w:rsidRPr="00513DD6">
        <w:rPr>
          <w:rFonts w:ascii="Verdana" w:hAnsi="Verdana"/>
          <w:sz w:val="24"/>
          <w:szCs w:val="24"/>
        </w:rPr>
        <w:t>optimization</w:t>
      </w:r>
      <w:proofErr w:type="spellEnd"/>
      <w:r w:rsidR="00513DD6" w:rsidRPr="00513DD6">
        <w:rPr>
          <w:rFonts w:ascii="Verdana" w:hAnsi="Verdana"/>
          <w:sz w:val="24"/>
          <w:szCs w:val="24"/>
        </w:rPr>
        <w:t>" OR "</w:t>
      </w:r>
      <w:proofErr w:type="spellStart"/>
      <w:r w:rsidR="00513DD6" w:rsidRPr="00513DD6">
        <w:rPr>
          <w:rFonts w:ascii="Verdana" w:hAnsi="Verdana"/>
          <w:sz w:val="24"/>
          <w:szCs w:val="24"/>
        </w:rPr>
        <w:t>management</w:t>
      </w:r>
      <w:proofErr w:type="spellEnd"/>
      <w:r w:rsidR="00513DD6" w:rsidRPr="00513DD6">
        <w:rPr>
          <w:rFonts w:ascii="Verdana" w:hAnsi="Verdana"/>
          <w:sz w:val="24"/>
          <w:szCs w:val="24"/>
        </w:rPr>
        <w:t>")</w:t>
      </w:r>
    </w:p>
    <w:p w14:paraId="28198716" w14:textId="592F6B8E" w:rsidR="00E71CFF" w:rsidRDefault="00EB0D8C" w:rsidP="009A1AFC">
      <w:pPr>
        <w:ind w:firstLine="708"/>
        <w:jc w:val="both"/>
        <w:rPr>
          <w:rFonts w:ascii="Verdana" w:hAnsi="Verdana"/>
          <w:sz w:val="24"/>
          <w:szCs w:val="24"/>
        </w:rPr>
      </w:pPr>
      <w:r>
        <w:rPr>
          <w:rFonts w:ascii="Verdana" w:hAnsi="Verdana"/>
          <w:sz w:val="24"/>
          <w:szCs w:val="24"/>
        </w:rPr>
        <w:t>Se analizan</w:t>
      </w:r>
      <w:r w:rsidR="00562A17">
        <w:rPr>
          <w:rFonts w:ascii="Verdana" w:hAnsi="Verdana"/>
          <w:sz w:val="24"/>
          <w:szCs w:val="24"/>
        </w:rPr>
        <w:t xml:space="preserve"> </w:t>
      </w:r>
      <w:r w:rsidR="00E366B5">
        <w:rPr>
          <w:rFonts w:ascii="Verdana" w:hAnsi="Verdana"/>
          <w:sz w:val="24"/>
          <w:szCs w:val="24"/>
        </w:rPr>
        <w:t>artículos</w:t>
      </w:r>
      <w:r w:rsidR="000940D9">
        <w:rPr>
          <w:rFonts w:ascii="Verdana" w:hAnsi="Verdana"/>
          <w:sz w:val="24"/>
          <w:szCs w:val="24"/>
        </w:rPr>
        <w:t xml:space="preserve"> de revisión, libros, capitulo de libro y conferencias publicadas </w:t>
      </w:r>
      <w:r w:rsidR="00E366B5">
        <w:rPr>
          <w:rFonts w:ascii="Verdana" w:hAnsi="Verdana"/>
          <w:sz w:val="24"/>
          <w:szCs w:val="24"/>
        </w:rPr>
        <w:t>entre la vigencia 2019 y 202</w:t>
      </w:r>
      <w:r w:rsidR="00DB44A3">
        <w:rPr>
          <w:rFonts w:ascii="Verdana" w:hAnsi="Verdana"/>
          <w:sz w:val="24"/>
          <w:szCs w:val="24"/>
        </w:rPr>
        <w:t>4</w:t>
      </w:r>
      <w:r w:rsidR="000E04CF">
        <w:rPr>
          <w:rFonts w:ascii="Verdana" w:hAnsi="Verdana"/>
          <w:sz w:val="24"/>
          <w:szCs w:val="24"/>
        </w:rPr>
        <w:t xml:space="preserve">. Entre los criterios de selección </w:t>
      </w:r>
      <w:r>
        <w:rPr>
          <w:rFonts w:ascii="Verdana" w:hAnsi="Verdana"/>
          <w:sz w:val="24"/>
          <w:szCs w:val="24"/>
        </w:rPr>
        <w:t>se</w:t>
      </w:r>
      <w:r w:rsidR="000E04CF">
        <w:rPr>
          <w:rFonts w:ascii="Verdana" w:hAnsi="Verdana"/>
          <w:sz w:val="24"/>
          <w:szCs w:val="24"/>
        </w:rPr>
        <w:t xml:space="preserve"> considera</w:t>
      </w:r>
      <w:r>
        <w:rPr>
          <w:rFonts w:ascii="Verdana" w:hAnsi="Verdana"/>
          <w:sz w:val="24"/>
          <w:szCs w:val="24"/>
        </w:rPr>
        <w:t>n</w:t>
      </w:r>
      <w:r w:rsidR="000E04CF">
        <w:rPr>
          <w:rFonts w:ascii="Verdana" w:hAnsi="Verdana"/>
          <w:sz w:val="24"/>
          <w:szCs w:val="24"/>
        </w:rPr>
        <w:t xml:space="preserve"> aquellas publicaciones que abordaran el título Transición Energética</w:t>
      </w:r>
      <w:r w:rsidR="00541C77">
        <w:rPr>
          <w:rFonts w:ascii="Verdana" w:hAnsi="Verdana"/>
          <w:sz w:val="24"/>
          <w:szCs w:val="24"/>
        </w:rPr>
        <w:t xml:space="preserve">. Para el procesamiento y análisis de datos, </w:t>
      </w:r>
      <w:r w:rsidR="00CF5B48">
        <w:rPr>
          <w:rFonts w:ascii="Verdana" w:hAnsi="Verdana"/>
          <w:sz w:val="24"/>
          <w:szCs w:val="24"/>
        </w:rPr>
        <w:t xml:space="preserve">se organizan en </w:t>
      </w:r>
      <w:r w:rsidR="00370C11">
        <w:rPr>
          <w:rFonts w:ascii="Verdana" w:hAnsi="Verdana"/>
          <w:sz w:val="24"/>
          <w:szCs w:val="24"/>
        </w:rPr>
        <w:t>S</w:t>
      </w:r>
      <w:r w:rsidR="00C2430A">
        <w:rPr>
          <w:rFonts w:ascii="Verdana" w:hAnsi="Verdana"/>
          <w:sz w:val="24"/>
          <w:szCs w:val="24"/>
        </w:rPr>
        <w:t xml:space="preserve">IGMA </w:t>
      </w:r>
      <w:proofErr w:type="spellStart"/>
      <w:r w:rsidR="00C2430A">
        <w:rPr>
          <w:rFonts w:ascii="Verdana" w:hAnsi="Verdana"/>
          <w:sz w:val="24"/>
          <w:szCs w:val="24"/>
        </w:rPr>
        <w:t>Plot</w:t>
      </w:r>
      <w:proofErr w:type="spellEnd"/>
      <w:r w:rsidR="003F0547">
        <w:rPr>
          <w:rFonts w:ascii="Verdana" w:hAnsi="Verdana"/>
          <w:sz w:val="24"/>
          <w:szCs w:val="24"/>
        </w:rPr>
        <w:t xml:space="preserve"> según año, n</w:t>
      </w:r>
      <w:r>
        <w:rPr>
          <w:rFonts w:ascii="Verdana" w:hAnsi="Verdana"/>
          <w:sz w:val="24"/>
          <w:szCs w:val="24"/>
        </w:rPr>
        <w:t>ú</w:t>
      </w:r>
      <w:r w:rsidR="003F0547">
        <w:rPr>
          <w:rFonts w:ascii="Verdana" w:hAnsi="Verdana"/>
          <w:sz w:val="24"/>
          <w:szCs w:val="24"/>
        </w:rPr>
        <w:t>mero de publicaciones y total de las mismas.</w:t>
      </w:r>
    </w:p>
    <w:p w14:paraId="161404AB" w14:textId="0C6254A6" w:rsidR="00E366B5" w:rsidRDefault="00B871E4" w:rsidP="007A61C1">
      <w:pPr>
        <w:rPr>
          <w:rFonts w:ascii="Verdana" w:hAnsi="Verdana"/>
          <w:sz w:val="24"/>
          <w:szCs w:val="24"/>
        </w:rPr>
      </w:pPr>
      <w:r>
        <w:rPr>
          <w:rFonts w:ascii="Verdana" w:hAnsi="Verdana"/>
          <w:sz w:val="24"/>
          <w:szCs w:val="24"/>
        </w:rPr>
        <w:t>Figura 1</w:t>
      </w:r>
      <w:r w:rsidR="000E3A91">
        <w:rPr>
          <w:rFonts w:ascii="Verdana" w:hAnsi="Verdana"/>
          <w:sz w:val="24"/>
          <w:szCs w:val="24"/>
        </w:rPr>
        <w:t xml:space="preserve">. </w:t>
      </w:r>
      <w:r w:rsidR="00A309A7">
        <w:rPr>
          <w:rFonts w:ascii="Verdana" w:hAnsi="Verdana"/>
          <w:sz w:val="24"/>
          <w:szCs w:val="24"/>
        </w:rPr>
        <w:t>Ruta proceso de búsqueda y análisis de información</w:t>
      </w:r>
    </w:p>
    <w:p w14:paraId="442F7642" w14:textId="0F6B5EB4" w:rsidR="00B871E4" w:rsidRDefault="00714C0A" w:rsidP="007A61C1">
      <w:pPr>
        <w:rPr>
          <w:rFonts w:ascii="Verdana" w:hAnsi="Verdana"/>
          <w:sz w:val="24"/>
          <w:szCs w:val="24"/>
        </w:rPr>
      </w:pPr>
      <w:r w:rsidRPr="00714C0A">
        <w:rPr>
          <w:rFonts w:ascii="Verdana" w:hAnsi="Verdana"/>
          <w:noProof/>
          <w:sz w:val="24"/>
          <w:szCs w:val="24"/>
        </w:rPr>
        <w:lastRenderedPageBreak/>
        <w:drawing>
          <wp:inline distT="0" distB="0" distL="0" distR="0" wp14:anchorId="251CE1A1" wp14:editId="6A6E69FC">
            <wp:extent cx="3495845" cy="3257639"/>
            <wp:effectExtent l="0" t="0" r="9525" b="0"/>
            <wp:docPr id="4780827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82728" name=""/>
                    <pic:cNvPicPr/>
                  </pic:nvPicPr>
                  <pic:blipFill>
                    <a:blip r:embed="rId15"/>
                    <a:stretch>
                      <a:fillRect/>
                    </a:stretch>
                  </pic:blipFill>
                  <pic:spPr>
                    <a:xfrm>
                      <a:off x="0" y="0"/>
                      <a:ext cx="3502624" cy="3263956"/>
                    </a:xfrm>
                    <a:prstGeom prst="rect">
                      <a:avLst/>
                    </a:prstGeom>
                  </pic:spPr>
                </pic:pic>
              </a:graphicData>
            </a:graphic>
          </wp:inline>
        </w:drawing>
      </w:r>
    </w:p>
    <w:p w14:paraId="3A52AE6D" w14:textId="73C33FC4" w:rsidR="00DE10D0" w:rsidRPr="000E3A91" w:rsidRDefault="000E3A91">
      <w:pPr>
        <w:rPr>
          <w:rFonts w:ascii="Verdana" w:hAnsi="Verdana"/>
          <w:bCs/>
          <w:sz w:val="24"/>
          <w:szCs w:val="24"/>
        </w:rPr>
      </w:pPr>
      <w:r w:rsidRPr="000E3A91">
        <w:rPr>
          <w:rFonts w:ascii="Verdana" w:hAnsi="Verdana"/>
          <w:bCs/>
          <w:sz w:val="24"/>
          <w:szCs w:val="24"/>
        </w:rPr>
        <w:t>Fuente: elaboración propia</w:t>
      </w:r>
    </w:p>
    <w:p w14:paraId="76602D62" w14:textId="3FE57400" w:rsidR="00E71CFF" w:rsidRPr="00E71CFF" w:rsidRDefault="00E71CFF" w:rsidP="007A61C1">
      <w:pPr>
        <w:rPr>
          <w:rFonts w:ascii="Verdana" w:hAnsi="Verdana"/>
          <w:b/>
          <w:sz w:val="24"/>
          <w:szCs w:val="24"/>
        </w:rPr>
      </w:pPr>
      <w:r w:rsidRPr="00E71CFF">
        <w:rPr>
          <w:rFonts w:ascii="Verdana" w:hAnsi="Verdana"/>
          <w:b/>
          <w:sz w:val="24"/>
          <w:szCs w:val="24"/>
        </w:rPr>
        <w:t>RESULTADOS.</w:t>
      </w:r>
    </w:p>
    <w:p w14:paraId="4D77A442" w14:textId="77777777" w:rsidR="0050776C" w:rsidRDefault="0050776C" w:rsidP="0050776C">
      <w:pPr>
        <w:spacing w:after="0"/>
        <w:ind w:firstLine="708"/>
        <w:rPr>
          <w:rFonts w:ascii="Verdana" w:hAnsi="Verdana"/>
          <w:sz w:val="24"/>
          <w:szCs w:val="24"/>
        </w:rPr>
      </w:pPr>
    </w:p>
    <w:p w14:paraId="27EA6EF4" w14:textId="65863D0D" w:rsidR="00637EEF" w:rsidRDefault="006C7E3D" w:rsidP="002052EB">
      <w:pPr>
        <w:ind w:firstLine="708"/>
        <w:jc w:val="both"/>
        <w:rPr>
          <w:rFonts w:ascii="Verdana" w:hAnsi="Verdana"/>
          <w:sz w:val="24"/>
          <w:szCs w:val="24"/>
        </w:rPr>
      </w:pPr>
      <w:r>
        <w:rPr>
          <w:rFonts w:ascii="Verdana" w:hAnsi="Verdana"/>
          <w:sz w:val="24"/>
          <w:szCs w:val="24"/>
        </w:rPr>
        <w:t xml:space="preserve">Empleando </w:t>
      </w:r>
      <w:r w:rsidR="00E51ED4">
        <w:rPr>
          <w:rFonts w:ascii="Verdana" w:hAnsi="Verdana"/>
          <w:sz w:val="24"/>
          <w:szCs w:val="24"/>
        </w:rPr>
        <w:t>un análisis de prospectiva tecnológica, para modelos de regresión no lineal según lo mencionado por Botero et al. (2024)</w:t>
      </w:r>
      <w:r w:rsidR="009B180A">
        <w:rPr>
          <w:rFonts w:ascii="Verdana" w:hAnsi="Verdana"/>
          <w:sz w:val="24"/>
          <w:szCs w:val="24"/>
        </w:rPr>
        <w:t>, los resultados evidencian un crecimiento exponencial a lo largo de los años</w:t>
      </w:r>
      <w:r w:rsidR="0058165A">
        <w:rPr>
          <w:rFonts w:ascii="Verdana" w:hAnsi="Verdana"/>
          <w:sz w:val="24"/>
          <w:szCs w:val="24"/>
        </w:rPr>
        <w:t xml:space="preserve">, impulsada por </w:t>
      </w:r>
      <w:r w:rsidR="00CD0919">
        <w:rPr>
          <w:rFonts w:ascii="Verdana" w:hAnsi="Verdana"/>
          <w:sz w:val="24"/>
          <w:szCs w:val="24"/>
        </w:rPr>
        <w:t>l</w:t>
      </w:r>
      <w:r w:rsidR="0058165A">
        <w:rPr>
          <w:rFonts w:ascii="Verdana" w:hAnsi="Verdana"/>
          <w:sz w:val="24"/>
          <w:szCs w:val="24"/>
        </w:rPr>
        <w:t>a relevancia del cambio climático, la agenda 2030 y el afán de los países por cumplir con los Objetivos de Desarrollo Sostenible ODS</w:t>
      </w:r>
      <w:r w:rsidR="00534441">
        <w:rPr>
          <w:rFonts w:ascii="Verdana" w:hAnsi="Verdana"/>
          <w:sz w:val="24"/>
          <w:szCs w:val="24"/>
        </w:rPr>
        <w:t>. Este análisis, se ajust</w:t>
      </w:r>
      <w:r w:rsidR="00EB0D8C">
        <w:rPr>
          <w:rFonts w:ascii="Verdana" w:hAnsi="Verdana"/>
          <w:sz w:val="24"/>
          <w:szCs w:val="24"/>
        </w:rPr>
        <w:t>a</w:t>
      </w:r>
      <w:r w:rsidR="00F81F15">
        <w:rPr>
          <w:rFonts w:ascii="Verdana" w:hAnsi="Verdana"/>
          <w:sz w:val="24"/>
          <w:szCs w:val="24"/>
        </w:rPr>
        <w:t xml:space="preserve"> a un modelo </w:t>
      </w:r>
      <w:r w:rsidR="002052EB">
        <w:rPr>
          <w:rFonts w:ascii="Verdana" w:hAnsi="Verdana"/>
          <w:sz w:val="24"/>
          <w:szCs w:val="24"/>
        </w:rPr>
        <w:t>sigmoideo de</w:t>
      </w:r>
      <w:r w:rsidR="00F81F15">
        <w:rPr>
          <w:rFonts w:ascii="Verdana" w:hAnsi="Verdana"/>
          <w:sz w:val="24"/>
          <w:szCs w:val="24"/>
        </w:rPr>
        <w:t xml:space="preserve"> dos </w:t>
      </w:r>
      <w:r w:rsidR="002052EB">
        <w:rPr>
          <w:rFonts w:ascii="Verdana" w:hAnsi="Verdana"/>
          <w:sz w:val="24"/>
          <w:szCs w:val="24"/>
        </w:rPr>
        <w:t>parámetros,</w:t>
      </w:r>
      <w:r w:rsidR="00F81F15">
        <w:rPr>
          <w:rFonts w:ascii="Verdana" w:hAnsi="Verdana"/>
          <w:sz w:val="24"/>
          <w:szCs w:val="24"/>
        </w:rPr>
        <w:t xml:space="preserve"> mostrando un punto de inflexión </w:t>
      </w:r>
      <w:r w:rsidR="001A5BF3">
        <w:rPr>
          <w:rFonts w:ascii="Verdana" w:hAnsi="Verdana"/>
          <w:sz w:val="24"/>
          <w:szCs w:val="24"/>
        </w:rPr>
        <w:t xml:space="preserve">proyectado para el 2045 </w:t>
      </w:r>
      <w:r w:rsidR="00637EEF">
        <w:t>(</w:t>
      </w:r>
      <w:r w:rsidR="00637EEF" w:rsidRPr="009E2F24">
        <w:rPr>
          <w:rFonts w:ascii="Verdana" w:hAnsi="Verdana"/>
          <w:sz w:val="24"/>
          <w:szCs w:val="24"/>
        </w:rPr>
        <w:t>R² = 99.8%, p &lt; 0,001) (Tabla 1).</w:t>
      </w:r>
    </w:p>
    <w:p w14:paraId="6806DAF5" w14:textId="5C486B80" w:rsidR="009E2F24" w:rsidRPr="009E2F24" w:rsidRDefault="009E2F24" w:rsidP="00637EEF">
      <w:pPr>
        <w:jc w:val="both"/>
        <w:rPr>
          <w:rFonts w:ascii="Verdana" w:hAnsi="Verdana"/>
          <w:sz w:val="24"/>
          <w:szCs w:val="24"/>
        </w:rPr>
      </w:pPr>
      <w:r>
        <w:rPr>
          <w:rFonts w:ascii="Verdana" w:hAnsi="Verdana"/>
          <w:sz w:val="24"/>
          <w:szCs w:val="24"/>
        </w:rPr>
        <w:t xml:space="preserve">Tabla 1. Modelos de regresión no lineal </w:t>
      </w:r>
      <w:r w:rsidR="007D0F20">
        <w:rPr>
          <w:rFonts w:ascii="Verdana" w:hAnsi="Verdana"/>
          <w:sz w:val="24"/>
          <w:szCs w:val="24"/>
        </w:rPr>
        <w:t>ajustados a la ruta de búsqueda “</w:t>
      </w:r>
      <w:proofErr w:type="spellStart"/>
      <w:r w:rsidR="007D0F20" w:rsidRPr="007D0F20">
        <w:rPr>
          <w:rFonts w:ascii="Verdana" w:hAnsi="Verdana"/>
          <w:sz w:val="24"/>
          <w:szCs w:val="24"/>
        </w:rPr>
        <w:t>energy</w:t>
      </w:r>
      <w:proofErr w:type="spellEnd"/>
      <w:r w:rsidR="007D0F20" w:rsidRPr="007D0F20">
        <w:rPr>
          <w:rFonts w:ascii="Verdana" w:hAnsi="Verdana"/>
          <w:sz w:val="24"/>
          <w:szCs w:val="24"/>
        </w:rPr>
        <w:t xml:space="preserve"> </w:t>
      </w:r>
      <w:proofErr w:type="spellStart"/>
      <w:r w:rsidR="007D0F20" w:rsidRPr="007D0F20">
        <w:rPr>
          <w:rFonts w:ascii="Verdana" w:hAnsi="Verdana"/>
          <w:sz w:val="24"/>
          <w:szCs w:val="24"/>
        </w:rPr>
        <w:t>transition</w:t>
      </w:r>
      <w:proofErr w:type="spellEnd"/>
      <w:r w:rsidR="007D0F20" w:rsidRPr="007D0F20">
        <w:rPr>
          <w:rFonts w:ascii="Verdana" w:hAnsi="Verdana"/>
          <w:sz w:val="24"/>
          <w:szCs w:val="24"/>
        </w:rPr>
        <w:t>"</w:t>
      </w:r>
      <w:r w:rsidR="007D0F20">
        <w:rPr>
          <w:rFonts w:ascii="Verdana" w:hAnsi="Verdana"/>
          <w:sz w:val="24"/>
          <w:szCs w:val="24"/>
        </w:rPr>
        <w:t xml:space="preserve"> </w:t>
      </w:r>
      <w:r w:rsidR="00113C84">
        <w:rPr>
          <w:rFonts w:ascii="Verdana" w:hAnsi="Verdana"/>
          <w:sz w:val="24"/>
          <w:szCs w:val="24"/>
        </w:rPr>
        <w:t>2019 a 2024</w:t>
      </w:r>
    </w:p>
    <w:p w14:paraId="793BC9CE" w14:textId="67AF450E" w:rsidR="006C7E3D" w:rsidRDefault="006C7E3D" w:rsidP="0050776C">
      <w:pPr>
        <w:spacing w:after="0"/>
        <w:ind w:firstLine="708"/>
        <w:rPr>
          <w:rFonts w:ascii="Verdana" w:hAnsi="Verdana"/>
          <w:sz w:val="24"/>
          <w:szCs w:val="24"/>
        </w:rPr>
      </w:pPr>
    </w:p>
    <w:tbl>
      <w:tblPr>
        <w:tblStyle w:val="Tablanormal2"/>
        <w:tblW w:w="0" w:type="auto"/>
        <w:tblLayout w:type="fixed"/>
        <w:tblLook w:val="04A0" w:firstRow="1" w:lastRow="0" w:firstColumn="1" w:lastColumn="0" w:noHBand="0" w:noVBand="1"/>
      </w:tblPr>
      <w:tblGrid>
        <w:gridCol w:w="1313"/>
        <w:gridCol w:w="1114"/>
        <w:gridCol w:w="1396"/>
        <w:gridCol w:w="1275"/>
        <w:gridCol w:w="1078"/>
        <w:gridCol w:w="936"/>
        <w:gridCol w:w="830"/>
        <w:gridCol w:w="886"/>
      </w:tblGrid>
      <w:tr w:rsidR="00534441" w:rsidRPr="006C7E3D" w14:paraId="5879DBC7" w14:textId="77777777" w:rsidTr="00F55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 w:type="dxa"/>
            <w:vAlign w:val="center"/>
          </w:tcPr>
          <w:p w14:paraId="57E3CA1A" w14:textId="77777777" w:rsidR="00534441" w:rsidRPr="006C7E3D" w:rsidRDefault="00534441" w:rsidP="00F559C9">
            <w:pPr>
              <w:jc w:val="center"/>
              <w:rPr>
                <w:rFonts w:ascii="Verdana" w:hAnsi="Verdana"/>
                <w:sz w:val="20"/>
                <w:szCs w:val="20"/>
              </w:rPr>
            </w:pPr>
            <w:r w:rsidRPr="006C7E3D">
              <w:rPr>
                <w:rFonts w:ascii="Verdana" w:hAnsi="Verdana"/>
                <w:sz w:val="20"/>
                <w:szCs w:val="20"/>
              </w:rPr>
              <w:t>Modelo</w:t>
            </w:r>
          </w:p>
        </w:tc>
        <w:tc>
          <w:tcPr>
            <w:tcW w:w="1114" w:type="dxa"/>
            <w:vAlign w:val="center"/>
          </w:tcPr>
          <w:p w14:paraId="58CD24E1" w14:textId="77777777" w:rsidR="00534441" w:rsidRPr="006C7E3D" w:rsidRDefault="00534441" w:rsidP="00F559C9">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6C7E3D">
              <w:rPr>
                <w:rFonts w:ascii="Verdana" w:hAnsi="Verdana"/>
                <w:sz w:val="20"/>
                <w:szCs w:val="20"/>
              </w:rPr>
              <w:t>Punto de Inflexión</w:t>
            </w:r>
          </w:p>
        </w:tc>
        <w:tc>
          <w:tcPr>
            <w:tcW w:w="1396" w:type="dxa"/>
            <w:vAlign w:val="center"/>
          </w:tcPr>
          <w:p w14:paraId="510CB8FC" w14:textId="77777777" w:rsidR="00534441" w:rsidRPr="006C7E3D" w:rsidRDefault="00534441" w:rsidP="00F559C9">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6C7E3D">
              <w:rPr>
                <w:rFonts w:ascii="Verdana" w:hAnsi="Verdana"/>
                <w:sz w:val="20"/>
                <w:szCs w:val="20"/>
              </w:rPr>
              <w:t>a</w:t>
            </w:r>
          </w:p>
        </w:tc>
        <w:tc>
          <w:tcPr>
            <w:tcW w:w="1275" w:type="dxa"/>
            <w:vAlign w:val="center"/>
          </w:tcPr>
          <w:p w14:paraId="70216EF0" w14:textId="77777777" w:rsidR="00534441" w:rsidRPr="006C7E3D" w:rsidRDefault="00534441" w:rsidP="00F559C9">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6C7E3D">
              <w:rPr>
                <w:rFonts w:ascii="Verdana" w:hAnsi="Verdana"/>
                <w:sz w:val="20"/>
                <w:szCs w:val="20"/>
              </w:rPr>
              <w:t>b</w:t>
            </w:r>
          </w:p>
        </w:tc>
        <w:tc>
          <w:tcPr>
            <w:tcW w:w="1078" w:type="dxa"/>
            <w:vAlign w:val="center"/>
          </w:tcPr>
          <w:p w14:paraId="4DA9F3C2" w14:textId="77777777" w:rsidR="00534441" w:rsidRPr="006C7E3D" w:rsidRDefault="00534441" w:rsidP="00F559C9">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6C7E3D">
              <w:rPr>
                <w:rFonts w:ascii="Verdana" w:hAnsi="Verdana"/>
                <w:sz w:val="20"/>
                <w:szCs w:val="20"/>
              </w:rPr>
              <w:t>c</w:t>
            </w:r>
          </w:p>
        </w:tc>
        <w:tc>
          <w:tcPr>
            <w:tcW w:w="936" w:type="dxa"/>
            <w:vAlign w:val="center"/>
          </w:tcPr>
          <w:p w14:paraId="0BF93C03" w14:textId="77777777" w:rsidR="00534441" w:rsidRPr="006C7E3D" w:rsidRDefault="00534441" w:rsidP="00F559C9">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6C7E3D">
              <w:rPr>
                <w:rFonts w:ascii="Verdana" w:hAnsi="Verdana"/>
                <w:sz w:val="20"/>
                <w:szCs w:val="20"/>
              </w:rPr>
              <w:t>P valor</w:t>
            </w:r>
          </w:p>
        </w:tc>
        <w:tc>
          <w:tcPr>
            <w:tcW w:w="830" w:type="dxa"/>
            <w:vAlign w:val="center"/>
          </w:tcPr>
          <w:p w14:paraId="737FED18" w14:textId="77777777" w:rsidR="00534441" w:rsidRPr="006C7E3D" w:rsidRDefault="00534441" w:rsidP="00F559C9">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6C7E3D">
              <w:rPr>
                <w:rFonts w:ascii="Verdana" w:hAnsi="Verdana"/>
                <w:sz w:val="20"/>
                <w:szCs w:val="20"/>
              </w:rPr>
              <w:t>DW</w:t>
            </w:r>
          </w:p>
        </w:tc>
        <w:tc>
          <w:tcPr>
            <w:tcW w:w="886" w:type="dxa"/>
            <w:vAlign w:val="center"/>
          </w:tcPr>
          <w:p w14:paraId="0DB79FCB" w14:textId="77777777" w:rsidR="00534441" w:rsidRPr="006C7E3D" w:rsidRDefault="00534441" w:rsidP="00F559C9">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6C7E3D">
              <w:rPr>
                <w:rFonts w:ascii="Verdana" w:hAnsi="Verdana"/>
                <w:sz w:val="20"/>
                <w:szCs w:val="20"/>
              </w:rPr>
              <w:t>R2</w:t>
            </w:r>
          </w:p>
        </w:tc>
      </w:tr>
      <w:tr w:rsidR="00534441" w:rsidRPr="006C7E3D" w14:paraId="4855B15D" w14:textId="77777777" w:rsidTr="00F55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 w:type="dxa"/>
            <w:vAlign w:val="center"/>
          </w:tcPr>
          <w:p w14:paraId="55F14180" w14:textId="77777777" w:rsidR="00534441" w:rsidRPr="00F559C9" w:rsidRDefault="00534441" w:rsidP="00F559C9">
            <w:pPr>
              <w:jc w:val="center"/>
              <w:rPr>
                <w:rFonts w:ascii="Verdana" w:hAnsi="Verdana"/>
                <w:b w:val="0"/>
                <w:bCs w:val="0"/>
                <w:sz w:val="20"/>
                <w:szCs w:val="20"/>
              </w:rPr>
            </w:pPr>
            <w:r w:rsidRPr="00F559C9">
              <w:rPr>
                <w:rFonts w:ascii="Verdana" w:hAnsi="Verdana"/>
                <w:b w:val="0"/>
                <w:bCs w:val="0"/>
                <w:sz w:val="20"/>
                <w:szCs w:val="20"/>
              </w:rPr>
              <w:t>Sigmoidal 3 parámetros</w:t>
            </w:r>
          </w:p>
        </w:tc>
        <w:tc>
          <w:tcPr>
            <w:tcW w:w="1114" w:type="dxa"/>
            <w:vAlign w:val="center"/>
          </w:tcPr>
          <w:p w14:paraId="236AAE08" w14:textId="77777777" w:rsidR="00534441" w:rsidRPr="006C7E3D" w:rsidRDefault="00534441" w:rsidP="00F559C9">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6C7E3D">
              <w:rPr>
                <w:rFonts w:ascii="Verdana" w:hAnsi="Verdana"/>
                <w:sz w:val="20"/>
                <w:szCs w:val="20"/>
              </w:rPr>
              <w:t>2045</w:t>
            </w:r>
          </w:p>
        </w:tc>
        <w:tc>
          <w:tcPr>
            <w:tcW w:w="1396" w:type="dxa"/>
            <w:vAlign w:val="center"/>
          </w:tcPr>
          <w:p w14:paraId="4EA33D46" w14:textId="77777777" w:rsidR="00534441" w:rsidRPr="006C7E3D" w:rsidRDefault="00534441" w:rsidP="00F559C9">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6C7E3D">
              <w:rPr>
                <w:rFonts w:ascii="Verdana" w:hAnsi="Verdana"/>
                <w:sz w:val="20"/>
                <w:szCs w:val="20"/>
              </w:rPr>
              <w:t>2406171,52</w:t>
            </w:r>
          </w:p>
        </w:tc>
        <w:tc>
          <w:tcPr>
            <w:tcW w:w="1275" w:type="dxa"/>
            <w:vAlign w:val="center"/>
          </w:tcPr>
          <w:p w14:paraId="6772947F" w14:textId="77777777" w:rsidR="00534441" w:rsidRPr="006C7E3D" w:rsidRDefault="00534441" w:rsidP="00F559C9">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6C7E3D">
              <w:rPr>
                <w:rFonts w:ascii="Verdana" w:hAnsi="Verdana"/>
                <w:sz w:val="20"/>
                <w:szCs w:val="20"/>
              </w:rPr>
              <w:t>14,6547</w:t>
            </w:r>
          </w:p>
        </w:tc>
        <w:tc>
          <w:tcPr>
            <w:tcW w:w="1078" w:type="dxa"/>
            <w:vAlign w:val="center"/>
          </w:tcPr>
          <w:p w14:paraId="31B7C5D2" w14:textId="77777777" w:rsidR="00534441" w:rsidRPr="006C7E3D" w:rsidRDefault="00534441" w:rsidP="00F559C9">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6C7E3D">
              <w:rPr>
                <w:rFonts w:ascii="Verdana" w:hAnsi="Verdana"/>
                <w:sz w:val="20"/>
                <w:szCs w:val="20"/>
              </w:rPr>
              <w:t>-</w:t>
            </w:r>
          </w:p>
        </w:tc>
        <w:tc>
          <w:tcPr>
            <w:tcW w:w="936" w:type="dxa"/>
            <w:vAlign w:val="center"/>
          </w:tcPr>
          <w:p w14:paraId="722CE287" w14:textId="77777777" w:rsidR="00534441" w:rsidRPr="006C7E3D" w:rsidRDefault="00534441" w:rsidP="00F559C9">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6C7E3D">
              <w:rPr>
                <w:rFonts w:ascii="Verdana" w:hAnsi="Verdana"/>
                <w:sz w:val="20"/>
                <w:szCs w:val="20"/>
              </w:rPr>
              <w:t>0.001</w:t>
            </w:r>
          </w:p>
        </w:tc>
        <w:tc>
          <w:tcPr>
            <w:tcW w:w="830" w:type="dxa"/>
            <w:vAlign w:val="center"/>
          </w:tcPr>
          <w:p w14:paraId="3EFB3BB2" w14:textId="77777777" w:rsidR="00534441" w:rsidRPr="006C7E3D" w:rsidRDefault="00534441" w:rsidP="00F559C9">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6C7E3D">
              <w:rPr>
                <w:rFonts w:ascii="Verdana" w:hAnsi="Verdana"/>
                <w:sz w:val="20"/>
                <w:szCs w:val="20"/>
              </w:rPr>
              <w:t>0,15</w:t>
            </w:r>
          </w:p>
        </w:tc>
        <w:tc>
          <w:tcPr>
            <w:tcW w:w="886" w:type="dxa"/>
            <w:vAlign w:val="center"/>
          </w:tcPr>
          <w:p w14:paraId="472DEFCF" w14:textId="77777777" w:rsidR="00534441" w:rsidRPr="006C7E3D" w:rsidRDefault="00534441" w:rsidP="00F559C9">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6C7E3D">
              <w:rPr>
                <w:rFonts w:ascii="Verdana" w:hAnsi="Verdana"/>
                <w:sz w:val="20"/>
                <w:szCs w:val="20"/>
              </w:rPr>
              <w:t>0,998</w:t>
            </w:r>
          </w:p>
        </w:tc>
      </w:tr>
      <w:tr w:rsidR="00534441" w:rsidRPr="006C7E3D" w14:paraId="06E011AC" w14:textId="77777777" w:rsidTr="00F559C9">
        <w:tc>
          <w:tcPr>
            <w:cnfStyle w:val="001000000000" w:firstRow="0" w:lastRow="0" w:firstColumn="1" w:lastColumn="0" w:oddVBand="0" w:evenVBand="0" w:oddHBand="0" w:evenHBand="0" w:firstRowFirstColumn="0" w:firstRowLastColumn="0" w:lastRowFirstColumn="0" w:lastRowLastColumn="0"/>
            <w:tcW w:w="1313" w:type="dxa"/>
            <w:vAlign w:val="center"/>
          </w:tcPr>
          <w:p w14:paraId="1A821C79" w14:textId="77777777" w:rsidR="00534441" w:rsidRPr="00F559C9" w:rsidRDefault="00534441" w:rsidP="00F559C9">
            <w:pPr>
              <w:jc w:val="center"/>
              <w:rPr>
                <w:rFonts w:ascii="Verdana" w:hAnsi="Verdana"/>
                <w:b w:val="0"/>
                <w:bCs w:val="0"/>
                <w:sz w:val="20"/>
                <w:szCs w:val="20"/>
              </w:rPr>
            </w:pPr>
            <w:r w:rsidRPr="00F559C9">
              <w:rPr>
                <w:rFonts w:ascii="Verdana" w:hAnsi="Verdana"/>
                <w:b w:val="0"/>
                <w:bCs w:val="0"/>
                <w:sz w:val="20"/>
                <w:szCs w:val="20"/>
              </w:rPr>
              <w:lastRenderedPageBreak/>
              <w:t>Hill 3 parámetros</w:t>
            </w:r>
          </w:p>
        </w:tc>
        <w:tc>
          <w:tcPr>
            <w:tcW w:w="1114" w:type="dxa"/>
            <w:vAlign w:val="center"/>
          </w:tcPr>
          <w:p w14:paraId="0C8AFFB6" w14:textId="77777777" w:rsidR="00534441" w:rsidRPr="006C7E3D" w:rsidRDefault="00534441" w:rsidP="00F559C9">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6C7E3D">
              <w:rPr>
                <w:rFonts w:ascii="Verdana" w:hAnsi="Verdana"/>
                <w:sz w:val="20"/>
                <w:szCs w:val="20"/>
              </w:rPr>
              <w:t>2149</w:t>
            </w:r>
          </w:p>
        </w:tc>
        <w:tc>
          <w:tcPr>
            <w:tcW w:w="1396" w:type="dxa"/>
            <w:vAlign w:val="center"/>
          </w:tcPr>
          <w:p w14:paraId="4B80B3F8" w14:textId="77777777" w:rsidR="00534441" w:rsidRPr="006C7E3D" w:rsidRDefault="00534441" w:rsidP="00F559C9">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6C7E3D">
              <w:rPr>
                <w:rFonts w:ascii="Verdana" w:hAnsi="Verdana"/>
                <w:sz w:val="20"/>
                <w:szCs w:val="20"/>
              </w:rPr>
              <w:t>89672705,7</w:t>
            </w:r>
          </w:p>
        </w:tc>
        <w:tc>
          <w:tcPr>
            <w:tcW w:w="1275" w:type="dxa"/>
            <w:vAlign w:val="center"/>
          </w:tcPr>
          <w:p w14:paraId="23851C8B" w14:textId="77777777" w:rsidR="00534441" w:rsidRPr="006C7E3D" w:rsidRDefault="00534441" w:rsidP="00F559C9">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6C7E3D">
              <w:rPr>
                <w:rFonts w:ascii="Verdana" w:hAnsi="Verdana"/>
                <w:sz w:val="20"/>
                <w:szCs w:val="20"/>
              </w:rPr>
              <w:t>90,8</w:t>
            </w:r>
          </w:p>
        </w:tc>
        <w:tc>
          <w:tcPr>
            <w:tcW w:w="1078" w:type="dxa"/>
            <w:vAlign w:val="center"/>
          </w:tcPr>
          <w:p w14:paraId="44A4C61B" w14:textId="77777777" w:rsidR="00534441" w:rsidRPr="006C7E3D" w:rsidRDefault="00534441" w:rsidP="00F559C9">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6C7E3D">
              <w:rPr>
                <w:rFonts w:ascii="Verdana" w:hAnsi="Verdana"/>
                <w:sz w:val="20"/>
                <w:szCs w:val="20"/>
              </w:rPr>
              <w:t>-</w:t>
            </w:r>
          </w:p>
        </w:tc>
        <w:tc>
          <w:tcPr>
            <w:tcW w:w="936" w:type="dxa"/>
            <w:vAlign w:val="center"/>
          </w:tcPr>
          <w:p w14:paraId="0050C9D6" w14:textId="77777777" w:rsidR="00534441" w:rsidRPr="006C7E3D" w:rsidRDefault="00534441" w:rsidP="00F559C9">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6C7E3D">
              <w:rPr>
                <w:rFonts w:ascii="Verdana" w:hAnsi="Verdana"/>
                <w:sz w:val="20"/>
                <w:szCs w:val="20"/>
              </w:rPr>
              <w:t>0,9</w:t>
            </w:r>
          </w:p>
        </w:tc>
        <w:tc>
          <w:tcPr>
            <w:tcW w:w="830" w:type="dxa"/>
            <w:vAlign w:val="center"/>
          </w:tcPr>
          <w:p w14:paraId="365BC9EB" w14:textId="77777777" w:rsidR="00534441" w:rsidRPr="006C7E3D" w:rsidRDefault="00534441" w:rsidP="00F559C9">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6C7E3D">
              <w:rPr>
                <w:rFonts w:ascii="Verdana" w:hAnsi="Verdana"/>
                <w:sz w:val="20"/>
                <w:szCs w:val="20"/>
              </w:rPr>
              <w:t>0,02</w:t>
            </w:r>
          </w:p>
        </w:tc>
        <w:tc>
          <w:tcPr>
            <w:tcW w:w="886" w:type="dxa"/>
            <w:vAlign w:val="center"/>
          </w:tcPr>
          <w:p w14:paraId="7A5E1888" w14:textId="77777777" w:rsidR="00534441" w:rsidRPr="006C7E3D" w:rsidRDefault="00534441" w:rsidP="00F559C9">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6C7E3D">
              <w:rPr>
                <w:rFonts w:ascii="Verdana" w:hAnsi="Verdana"/>
                <w:sz w:val="20"/>
                <w:szCs w:val="20"/>
              </w:rPr>
              <w:t>0,96</w:t>
            </w:r>
          </w:p>
        </w:tc>
      </w:tr>
    </w:tbl>
    <w:p w14:paraId="3BB989AF" w14:textId="7B2F9C47" w:rsidR="00534441" w:rsidRDefault="00113C84" w:rsidP="0050776C">
      <w:pPr>
        <w:spacing w:after="0"/>
        <w:ind w:firstLine="708"/>
        <w:rPr>
          <w:rFonts w:ascii="Verdana" w:hAnsi="Verdana"/>
          <w:sz w:val="24"/>
          <w:szCs w:val="24"/>
        </w:rPr>
      </w:pPr>
      <w:r>
        <w:rPr>
          <w:rFonts w:ascii="Verdana" w:hAnsi="Verdana"/>
          <w:sz w:val="24"/>
          <w:szCs w:val="24"/>
        </w:rPr>
        <w:t xml:space="preserve">Fuente: SIGMA </w:t>
      </w:r>
      <w:proofErr w:type="spellStart"/>
      <w:r>
        <w:rPr>
          <w:rFonts w:ascii="Verdana" w:hAnsi="Verdana"/>
          <w:sz w:val="24"/>
          <w:szCs w:val="24"/>
        </w:rPr>
        <w:t>Plot</w:t>
      </w:r>
      <w:proofErr w:type="spellEnd"/>
      <w:r>
        <w:rPr>
          <w:rFonts w:ascii="Verdana" w:hAnsi="Verdana"/>
          <w:sz w:val="24"/>
          <w:szCs w:val="24"/>
        </w:rPr>
        <w:t xml:space="preserve"> a partir del número de publicaciones</w:t>
      </w:r>
      <w:r w:rsidR="00D670D2">
        <w:rPr>
          <w:rFonts w:ascii="Verdana" w:hAnsi="Verdana"/>
          <w:sz w:val="24"/>
          <w:szCs w:val="24"/>
        </w:rPr>
        <w:t>, 2025</w:t>
      </w:r>
    </w:p>
    <w:p w14:paraId="0D10BD4D" w14:textId="77777777" w:rsidR="00294038" w:rsidRDefault="00294038" w:rsidP="00A14C37">
      <w:pPr>
        <w:spacing w:after="0"/>
        <w:ind w:firstLine="708"/>
        <w:rPr>
          <w:rFonts w:ascii="Verdana" w:hAnsi="Verdana"/>
          <w:sz w:val="24"/>
          <w:szCs w:val="24"/>
        </w:rPr>
      </w:pPr>
    </w:p>
    <w:p w14:paraId="3521970F" w14:textId="43B08907" w:rsidR="00D670D2" w:rsidRDefault="00A770AE" w:rsidP="00A14C37">
      <w:pPr>
        <w:spacing w:after="0"/>
        <w:ind w:firstLine="708"/>
        <w:rPr>
          <w:rFonts w:ascii="Verdana" w:hAnsi="Verdana"/>
          <w:sz w:val="24"/>
          <w:szCs w:val="24"/>
        </w:rPr>
      </w:pPr>
      <w:r>
        <w:rPr>
          <w:rFonts w:ascii="Verdana" w:hAnsi="Verdana"/>
          <w:sz w:val="24"/>
          <w:szCs w:val="24"/>
        </w:rPr>
        <w:t>Figura 2</w:t>
      </w:r>
      <w:r w:rsidR="005D58B3">
        <w:rPr>
          <w:rFonts w:ascii="Verdana" w:hAnsi="Verdana"/>
          <w:sz w:val="24"/>
          <w:szCs w:val="24"/>
        </w:rPr>
        <w:t>. Modelos de regresión no lineal ajustados a la ruta de búsqueda</w:t>
      </w:r>
    </w:p>
    <w:p w14:paraId="0129CC3D" w14:textId="77777777" w:rsidR="00A770AE" w:rsidRDefault="00A770AE" w:rsidP="00A14C37">
      <w:pPr>
        <w:spacing w:after="0"/>
        <w:ind w:firstLine="708"/>
        <w:rPr>
          <w:rFonts w:ascii="Verdana" w:hAnsi="Verdana"/>
          <w:sz w:val="24"/>
          <w:szCs w:val="24"/>
        </w:rPr>
      </w:pPr>
    </w:p>
    <w:tbl>
      <w:tblPr>
        <w:tblStyle w:val="Tablaconcuadrcula"/>
        <w:tblW w:w="0" w:type="auto"/>
        <w:tblLook w:val="04A0" w:firstRow="1" w:lastRow="0" w:firstColumn="1" w:lastColumn="0" w:noHBand="0" w:noVBand="1"/>
      </w:tblPr>
      <w:tblGrid>
        <w:gridCol w:w="4129"/>
        <w:gridCol w:w="4699"/>
      </w:tblGrid>
      <w:tr w:rsidR="00A770AE" w14:paraId="3C73AE5D" w14:textId="77777777" w:rsidTr="00F559C9">
        <w:tc>
          <w:tcPr>
            <w:tcW w:w="4118" w:type="dxa"/>
          </w:tcPr>
          <w:p w14:paraId="01AC0432" w14:textId="3DF8D1B8" w:rsidR="00A770AE" w:rsidRDefault="005D58B3" w:rsidP="00A14C37">
            <w:pPr>
              <w:rPr>
                <w:rFonts w:ascii="Verdana" w:hAnsi="Verdana"/>
                <w:sz w:val="24"/>
                <w:szCs w:val="24"/>
              </w:rPr>
            </w:pPr>
            <w:r>
              <w:rPr>
                <w:kern w:val="0"/>
                <w14:ligatures w14:val="none"/>
              </w:rPr>
              <w:object w:dxaOrig="7309" w:dyaOrig="5930" w14:anchorId="59D14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4pt;height:164.4pt" o:ole="">
                  <v:imagedata r:id="rId16" o:title=""/>
                </v:shape>
                <o:OLEObject Type="Embed" ProgID="SigmaPlotGraphicObject.11" ShapeID="_x0000_i1025" DrawAspect="Content" ObjectID="_1818394675" r:id="rId17"/>
              </w:object>
            </w:r>
          </w:p>
        </w:tc>
        <w:tc>
          <w:tcPr>
            <w:tcW w:w="4710" w:type="dxa"/>
          </w:tcPr>
          <w:p w14:paraId="3F29AA36" w14:textId="647DDA2B" w:rsidR="00A770AE" w:rsidRDefault="005D58B3" w:rsidP="00A14C37">
            <w:pPr>
              <w:rPr>
                <w:rFonts w:ascii="Verdana" w:hAnsi="Verdana"/>
                <w:sz w:val="24"/>
                <w:szCs w:val="24"/>
              </w:rPr>
            </w:pPr>
            <w:r>
              <w:rPr>
                <w:kern w:val="0"/>
                <w14:ligatures w14:val="none"/>
              </w:rPr>
              <w:object w:dxaOrig="7177" w:dyaOrig="5930" w14:anchorId="06C1718B">
                <v:shape id="_x0000_i1026" type="#_x0000_t75" style="width:233.4pt;height:193.2pt" o:ole="">
                  <v:imagedata r:id="rId18" o:title=""/>
                </v:shape>
                <o:OLEObject Type="Embed" ProgID="SigmaPlotGraphicObject.11" ShapeID="_x0000_i1026" DrawAspect="Content" ObjectID="_1818394676" r:id="rId19"/>
              </w:object>
            </w:r>
          </w:p>
        </w:tc>
      </w:tr>
    </w:tbl>
    <w:p w14:paraId="29FB3F6C" w14:textId="4A0A67F0" w:rsidR="00A770AE" w:rsidRPr="00F559C9" w:rsidRDefault="00F559C9" w:rsidP="00A14C37">
      <w:pPr>
        <w:spacing w:after="0"/>
        <w:ind w:firstLine="708"/>
        <w:rPr>
          <w:rFonts w:ascii="Verdana" w:hAnsi="Verdana"/>
          <w:sz w:val="20"/>
          <w:szCs w:val="20"/>
        </w:rPr>
      </w:pPr>
      <w:r w:rsidRPr="00F559C9">
        <w:rPr>
          <w:rFonts w:ascii="Verdana" w:hAnsi="Verdana"/>
          <w:sz w:val="20"/>
          <w:szCs w:val="20"/>
        </w:rPr>
        <w:t xml:space="preserve">Fuente: </w:t>
      </w:r>
      <w:proofErr w:type="spellStart"/>
      <w:r w:rsidRPr="00F559C9">
        <w:rPr>
          <w:rFonts w:ascii="Verdana" w:hAnsi="Verdana"/>
          <w:sz w:val="20"/>
          <w:szCs w:val="20"/>
        </w:rPr>
        <w:t>Scopus</w:t>
      </w:r>
      <w:proofErr w:type="spellEnd"/>
      <w:r w:rsidRPr="00F559C9">
        <w:rPr>
          <w:rFonts w:ascii="Verdana" w:hAnsi="Verdana"/>
          <w:sz w:val="20"/>
          <w:szCs w:val="20"/>
        </w:rPr>
        <w:t>, 2025</w:t>
      </w:r>
    </w:p>
    <w:p w14:paraId="3DB8F0DB" w14:textId="2DAC6922" w:rsidR="00A14C37" w:rsidRDefault="00D670D2" w:rsidP="002052EB">
      <w:pPr>
        <w:spacing w:after="0"/>
        <w:ind w:firstLine="708"/>
        <w:jc w:val="both"/>
        <w:rPr>
          <w:rFonts w:ascii="Verdana" w:hAnsi="Verdana"/>
          <w:sz w:val="24"/>
          <w:szCs w:val="24"/>
        </w:rPr>
      </w:pPr>
      <w:r>
        <w:rPr>
          <w:rFonts w:ascii="Verdana" w:hAnsi="Verdana"/>
          <w:sz w:val="24"/>
          <w:szCs w:val="24"/>
        </w:rPr>
        <w:t>Los valores a, b</w:t>
      </w:r>
      <w:r w:rsidR="00B80C4E">
        <w:rPr>
          <w:rFonts w:ascii="Verdana" w:hAnsi="Verdana"/>
          <w:sz w:val="24"/>
          <w:szCs w:val="24"/>
        </w:rPr>
        <w:t xml:space="preserve"> y c del punto de inflexión, corresponde a la ecuación de los dos modelos empleados</w:t>
      </w:r>
      <w:r w:rsidR="00D2495C">
        <w:rPr>
          <w:rFonts w:ascii="Verdana" w:hAnsi="Verdana"/>
          <w:sz w:val="24"/>
          <w:szCs w:val="24"/>
        </w:rPr>
        <w:t>.</w:t>
      </w:r>
      <w:r w:rsidR="00A958E9">
        <w:rPr>
          <w:rFonts w:ascii="Verdana" w:hAnsi="Verdana"/>
          <w:sz w:val="24"/>
          <w:szCs w:val="24"/>
        </w:rPr>
        <w:t xml:space="preserve"> D</w:t>
      </w:r>
      <w:r w:rsidR="00C7038C">
        <w:rPr>
          <w:rFonts w:ascii="Verdana" w:hAnsi="Verdana"/>
          <w:sz w:val="24"/>
          <w:szCs w:val="24"/>
        </w:rPr>
        <w:t>esde 2019</w:t>
      </w:r>
      <w:r w:rsidR="008A60CD">
        <w:rPr>
          <w:rFonts w:ascii="Verdana" w:hAnsi="Verdana"/>
          <w:sz w:val="24"/>
          <w:szCs w:val="24"/>
        </w:rPr>
        <w:t xml:space="preserve"> se han publicado en </w:t>
      </w:r>
      <w:proofErr w:type="spellStart"/>
      <w:r w:rsidR="00BE12D8">
        <w:rPr>
          <w:rFonts w:ascii="Verdana" w:hAnsi="Verdana"/>
          <w:sz w:val="24"/>
          <w:szCs w:val="24"/>
        </w:rPr>
        <w:t>Scopus</w:t>
      </w:r>
      <w:proofErr w:type="spellEnd"/>
      <w:r w:rsidR="00BE12D8">
        <w:rPr>
          <w:rFonts w:ascii="Verdana" w:hAnsi="Verdana"/>
          <w:sz w:val="24"/>
          <w:szCs w:val="24"/>
        </w:rPr>
        <w:t xml:space="preserve"> un total de</w:t>
      </w:r>
      <w:r w:rsidR="00B5734B" w:rsidRPr="00B5734B">
        <w:t xml:space="preserve"> </w:t>
      </w:r>
      <w:r w:rsidR="0003122B" w:rsidRPr="0003122B">
        <w:rPr>
          <w:rFonts w:ascii="Verdana" w:hAnsi="Verdana"/>
          <w:sz w:val="24"/>
          <w:szCs w:val="24"/>
        </w:rPr>
        <w:t>159.979</w:t>
      </w:r>
      <w:r w:rsidR="0003122B">
        <w:rPr>
          <w:rFonts w:ascii="Verdana" w:hAnsi="Verdana"/>
          <w:sz w:val="24"/>
          <w:szCs w:val="24"/>
        </w:rPr>
        <w:t xml:space="preserve"> </w:t>
      </w:r>
      <w:r w:rsidR="00B5734B">
        <w:rPr>
          <w:rFonts w:ascii="Verdana" w:hAnsi="Verdana"/>
          <w:sz w:val="24"/>
          <w:szCs w:val="24"/>
        </w:rPr>
        <w:t>documentos relacionados con el tema de transición energética</w:t>
      </w:r>
      <w:r w:rsidR="00FA65C1">
        <w:rPr>
          <w:rFonts w:ascii="Verdana" w:hAnsi="Verdana"/>
          <w:sz w:val="24"/>
          <w:szCs w:val="24"/>
        </w:rPr>
        <w:t xml:space="preserve">, estas publicaciones se </w:t>
      </w:r>
      <w:r w:rsidR="00A9084E">
        <w:rPr>
          <w:rFonts w:ascii="Verdana" w:hAnsi="Verdana"/>
          <w:sz w:val="24"/>
          <w:szCs w:val="24"/>
        </w:rPr>
        <w:t>centran en</w:t>
      </w:r>
      <w:r w:rsidR="00FA65C1">
        <w:rPr>
          <w:rFonts w:ascii="Verdana" w:hAnsi="Verdana"/>
          <w:sz w:val="24"/>
          <w:szCs w:val="24"/>
        </w:rPr>
        <w:t xml:space="preserve"> áreas como: </w:t>
      </w:r>
      <w:r w:rsidR="00A9084E">
        <w:rPr>
          <w:rFonts w:ascii="Verdana" w:hAnsi="Verdana"/>
          <w:sz w:val="24"/>
          <w:szCs w:val="24"/>
        </w:rPr>
        <w:t>i</w:t>
      </w:r>
      <w:r w:rsidR="00A14C37" w:rsidRPr="00A14C37">
        <w:rPr>
          <w:rFonts w:ascii="Verdana" w:hAnsi="Verdana"/>
          <w:sz w:val="24"/>
          <w:szCs w:val="24"/>
        </w:rPr>
        <w:t>ngeniería,</w:t>
      </w:r>
      <w:r w:rsidR="00A9084E">
        <w:rPr>
          <w:rFonts w:ascii="Verdana" w:hAnsi="Verdana"/>
          <w:sz w:val="24"/>
          <w:szCs w:val="24"/>
        </w:rPr>
        <w:t xml:space="preserve"> e</w:t>
      </w:r>
      <w:r w:rsidR="00A14C37" w:rsidRPr="00A14C37">
        <w:rPr>
          <w:rFonts w:ascii="Verdana" w:hAnsi="Verdana"/>
          <w:sz w:val="24"/>
          <w:szCs w:val="24"/>
        </w:rPr>
        <w:t>nergía,</w:t>
      </w:r>
      <w:r w:rsidR="00A9084E">
        <w:rPr>
          <w:rFonts w:ascii="Verdana" w:hAnsi="Verdana"/>
          <w:sz w:val="24"/>
          <w:szCs w:val="24"/>
        </w:rPr>
        <w:t xml:space="preserve"> c</w:t>
      </w:r>
      <w:r w:rsidR="00A14C37" w:rsidRPr="00A14C37">
        <w:rPr>
          <w:rFonts w:ascii="Verdana" w:hAnsi="Verdana"/>
          <w:sz w:val="24"/>
          <w:szCs w:val="24"/>
        </w:rPr>
        <w:t xml:space="preserve">iencias </w:t>
      </w:r>
      <w:r w:rsidR="00CD0919">
        <w:rPr>
          <w:rFonts w:ascii="Verdana" w:hAnsi="Verdana"/>
          <w:sz w:val="24"/>
          <w:szCs w:val="24"/>
        </w:rPr>
        <w:t>a</w:t>
      </w:r>
      <w:r w:rsidR="00A14C37" w:rsidRPr="00A14C37">
        <w:rPr>
          <w:rFonts w:ascii="Verdana" w:hAnsi="Verdana"/>
          <w:sz w:val="24"/>
          <w:szCs w:val="24"/>
        </w:rPr>
        <w:t>mbientales,</w:t>
      </w:r>
      <w:r w:rsidR="008A37F8">
        <w:rPr>
          <w:rFonts w:ascii="Verdana" w:hAnsi="Verdana"/>
          <w:sz w:val="24"/>
          <w:szCs w:val="24"/>
        </w:rPr>
        <w:t xml:space="preserve"> c</w:t>
      </w:r>
      <w:r w:rsidR="00A14C37" w:rsidRPr="00A14C37">
        <w:rPr>
          <w:rFonts w:ascii="Verdana" w:hAnsi="Verdana"/>
          <w:sz w:val="24"/>
          <w:szCs w:val="24"/>
        </w:rPr>
        <w:t xml:space="preserve">iencias de la </w:t>
      </w:r>
      <w:r w:rsidR="008A37F8">
        <w:rPr>
          <w:rFonts w:ascii="Verdana" w:hAnsi="Verdana"/>
          <w:sz w:val="24"/>
          <w:szCs w:val="24"/>
        </w:rPr>
        <w:t>t</w:t>
      </w:r>
      <w:r w:rsidR="00A14C37" w:rsidRPr="00A14C37">
        <w:rPr>
          <w:rFonts w:ascii="Verdana" w:hAnsi="Verdana"/>
          <w:sz w:val="24"/>
          <w:szCs w:val="24"/>
        </w:rPr>
        <w:t xml:space="preserve">ierra y </w:t>
      </w:r>
      <w:r w:rsidR="008A37F8">
        <w:rPr>
          <w:rFonts w:ascii="Verdana" w:hAnsi="Verdana"/>
          <w:sz w:val="24"/>
          <w:szCs w:val="24"/>
        </w:rPr>
        <w:t>p</w:t>
      </w:r>
      <w:r w:rsidR="00A14C37" w:rsidRPr="00A14C37">
        <w:rPr>
          <w:rFonts w:ascii="Verdana" w:hAnsi="Verdana"/>
          <w:sz w:val="24"/>
          <w:szCs w:val="24"/>
        </w:rPr>
        <w:t>lanetarias,</w:t>
      </w:r>
      <w:r w:rsidR="008A37F8">
        <w:rPr>
          <w:rFonts w:ascii="Verdana" w:hAnsi="Verdana"/>
          <w:sz w:val="24"/>
          <w:szCs w:val="24"/>
        </w:rPr>
        <w:t xml:space="preserve"> e</w:t>
      </w:r>
      <w:r w:rsidR="00A14C37" w:rsidRPr="00A14C37">
        <w:rPr>
          <w:rFonts w:ascii="Verdana" w:hAnsi="Verdana"/>
          <w:sz w:val="24"/>
          <w:szCs w:val="24"/>
        </w:rPr>
        <w:t xml:space="preserve">conomía, </w:t>
      </w:r>
      <w:r w:rsidR="008A37F8">
        <w:rPr>
          <w:rFonts w:ascii="Verdana" w:hAnsi="Verdana"/>
          <w:sz w:val="24"/>
          <w:szCs w:val="24"/>
        </w:rPr>
        <w:t>e</w:t>
      </w:r>
      <w:r w:rsidR="00A14C37" w:rsidRPr="00A14C37">
        <w:rPr>
          <w:rFonts w:ascii="Verdana" w:hAnsi="Verdana"/>
          <w:sz w:val="24"/>
          <w:szCs w:val="24"/>
        </w:rPr>
        <w:t xml:space="preserve">conometría y </w:t>
      </w:r>
      <w:r w:rsidR="008A37F8">
        <w:rPr>
          <w:rFonts w:ascii="Verdana" w:hAnsi="Verdana"/>
          <w:sz w:val="24"/>
          <w:szCs w:val="24"/>
        </w:rPr>
        <w:t>f</w:t>
      </w:r>
      <w:r w:rsidR="00A14C37" w:rsidRPr="00A14C37">
        <w:rPr>
          <w:rFonts w:ascii="Verdana" w:hAnsi="Verdana"/>
          <w:sz w:val="24"/>
          <w:szCs w:val="24"/>
        </w:rPr>
        <w:t>inanzas,</w:t>
      </w:r>
      <w:r w:rsidR="0015320A">
        <w:rPr>
          <w:rFonts w:ascii="Verdana" w:hAnsi="Verdana"/>
          <w:sz w:val="24"/>
          <w:szCs w:val="24"/>
        </w:rPr>
        <w:t xml:space="preserve"> n</w:t>
      </w:r>
      <w:r w:rsidR="00A14C37" w:rsidRPr="00A14C37">
        <w:rPr>
          <w:rFonts w:ascii="Verdana" w:hAnsi="Verdana"/>
          <w:sz w:val="24"/>
          <w:szCs w:val="24"/>
        </w:rPr>
        <w:t xml:space="preserve">egocios, </w:t>
      </w:r>
      <w:r w:rsidR="0015320A">
        <w:rPr>
          <w:rFonts w:ascii="Verdana" w:hAnsi="Verdana"/>
          <w:sz w:val="24"/>
          <w:szCs w:val="24"/>
        </w:rPr>
        <w:t>a</w:t>
      </w:r>
      <w:r w:rsidR="00A14C37" w:rsidRPr="00A14C37">
        <w:rPr>
          <w:rFonts w:ascii="Verdana" w:hAnsi="Verdana"/>
          <w:sz w:val="24"/>
          <w:szCs w:val="24"/>
        </w:rPr>
        <w:t xml:space="preserve">dministración y </w:t>
      </w:r>
      <w:r w:rsidR="0015320A">
        <w:rPr>
          <w:rFonts w:ascii="Verdana" w:hAnsi="Verdana"/>
          <w:sz w:val="24"/>
          <w:szCs w:val="24"/>
        </w:rPr>
        <w:t>c</w:t>
      </w:r>
      <w:r w:rsidR="00A14C37" w:rsidRPr="00A14C37">
        <w:rPr>
          <w:rFonts w:ascii="Verdana" w:hAnsi="Verdana"/>
          <w:sz w:val="24"/>
          <w:szCs w:val="24"/>
        </w:rPr>
        <w:t>ontabilidad,</w:t>
      </w:r>
      <w:r w:rsidR="0015320A">
        <w:rPr>
          <w:rFonts w:ascii="Verdana" w:hAnsi="Verdana"/>
          <w:sz w:val="24"/>
          <w:szCs w:val="24"/>
        </w:rPr>
        <w:t xml:space="preserve"> c</w:t>
      </w:r>
      <w:r w:rsidR="00A14C37" w:rsidRPr="00A14C37">
        <w:rPr>
          <w:rFonts w:ascii="Verdana" w:hAnsi="Verdana"/>
          <w:sz w:val="24"/>
          <w:szCs w:val="24"/>
        </w:rPr>
        <w:t xml:space="preserve">iencias </w:t>
      </w:r>
      <w:r w:rsidR="0015320A">
        <w:rPr>
          <w:rFonts w:ascii="Verdana" w:hAnsi="Verdana"/>
          <w:sz w:val="24"/>
          <w:szCs w:val="24"/>
        </w:rPr>
        <w:t>a</w:t>
      </w:r>
      <w:r w:rsidR="00A14C37" w:rsidRPr="00A14C37">
        <w:rPr>
          <w:rFonts w:ascii="Verdana" w:hAnsi="Verdana"/>
          <w:sz w:val="24"/>
          <w:szCs w:val="24"/>
        </w:rPr>
        <w:t xml:space="preserve">gropecuarias y </w:t>
      </w:r>
      <w:r w:rsidR="0015320A">
        <w:rPr>
          <w:rFonts w:ascii="Verdana" w:hAnsi="Verdana"/>
          <w:sz w:val="24"/>
          <w:szCs w:val="24"/>
        </w:rPr>
        <w:t>b</w:t>
      </w:r>
      <w:r w:rsidR="00A14C37" w:rsidRPr="00A14C37">
        <w:rPr>
          <w:rFonts w:ascii="Verdana" w:hAnsi="Verdana"/>
          <w:sz w:val="24"/>
          <w:szCs w:val="24"/>
        </w:rPr>
        <w:t>iológicas,</w:t>
      </w:r>
      <w:r w:rsidR="001A23CD">
        <w:rPr>
          <w:rFonts w:ascii="Verdana" w:hAnsi="Verdana"/>
          <w:sz w:val="24"/>
          <w:szCs w:val="24"/>
        </w:rPr>
        <w:t xml:space="preserve"> m</w:t>
      </w:r>
      <w:r w:rsidR="00A14C37" w:rsidRPr="00A14C37">
        <w:rPr>
          <w:rFonts w:ascii="Verdana" w:hAnsi="Verdana"/>
          <w:sz w:val="24"/>
          <w:szCs w:val="24"/>
        </w:rPr>
        <w:t>ultidisciplinar</w:t>
      </w:r>
      <w:r w:rsidR="002C0BBC">
        <w:rPr>
          <w:rFonts w:ascii="Verdana" w:hAnsi="Verdana"/>
          <w:sz w:val="24"/>
          <w:szCs w:val="24"/>
        </w:rPr>
        <w:t xml:space="preserve"> y de toma de decisiones</w:t>
      </w:r>
      <w:r w:rsidR="001A23CD">
        <w:rPr>
          <w:rFonts w:ascii="Verdana" w:hAnsi="Verdana"/>
          <w:sz w:val="24"/>
          <w:szCs w:val="24"/>
        </w:rPr>
        <w:t>.</w:t>
      </w:r>
    </w:p>
    <w:p w14:paraId="667BE3D1" w14:textId="77777777" w:rsidR="0090198C" w:rsidRDefault="0090198C" w:rsidP="00A14C37">
      <w:pPr>
        <w:spacing w:after="0"/>
        <w:ind w:firstLine="708"/>
        <w:rPr>
          <w:rFonts w:ascii="Verdana" w:hAnsi="Verdana"/>
          <w:sz w:val="24"/>
          <w:szCs w:val="24"/>
        </w:rPr>
      </w:pPr>
    </w:p>
    <w:p w14:paraId="541AC360" w14:textId="4247B365" w:rsidR="0090198C" w:rsidRDefault="0090198C" w:rsidP="00F559C9">
      <w:pPr>
        <w:spacing w:after="0"/>
        <w:ind w:firstLine="708"/>
        <w:jc w:val="both"/>
        <w:rPr>
          <w:rFonts w:ascii="Verdana" w:hAnsi="Verdana"/>
          <w:sz w:val="24"/>
          <w:szCs w:val="24"/>
        </w:rPr>
      </w:pPr>
      <w:r>
        <w:rPr>
          <w:rFonts w:ascii="Verdana" w:hAnsi="Verdana"/>
          <w:sz w:val="24"/>
          <w:szCs w:val="24"/>
        </w:rPr>
        <w:t xml:space="preserve">La </w:t>
      </w:r>
      <w:r w:rsidR="002C0BBC">
        <w:rPr>
          <w:rFonts w:ascii="Verdana" w:hAnsi="Verdana"/>
          <w:sz w:val="24"/>
          <w:szCs w:val="24"/>
        </w:rPr>
        <w:t>F</w:t>
      </w:r>
      <w:r>
        <w:rPr>
          <w:rFonts w:ascii="Verdana" w:hAnsi="Verdana"/>
          <w:sz w:val="24"/>
          <w:szCs w:val="24"/>
        </w:rPr>
        <w:t xml:space="preserve">igura </w:t>
      </w:r>
      <w:r w:rsidR="00F559C9">
        <w:rPr>
          <w:rFonts w:ascii="Verdana" w:hAnsi="Verdana"/>
          <w:sz w:val="24"/>
          <w:szCs w:val="24"/>
        </w:rPr>
        <w:t>3</w:t>
      </w:r>
      <w:r w:rsidR="002C0BBC">
        <w:rPr>
          <w:rFonts w:ascii="Verdana" w:hAnsi="Verdana"/>
          <w:sz w:val="24"/>
          <w:szCs w:val="24"/>
        </w:rPr>
        <w:t>.</w:t>
      </w:r>
      <w:r>
        <w:rPr>
          <w:rFonts w:ascii="Verdana" w:hAnsi="Verdana"/>
          <w:sz w:val="24"/>
          <w:szCs w:val="24"/>
        </w:rPr>
        <w:t xml:space="preserve"> </w:t>
      </w:r>
      <w:r w:rsidR="00A228C5">
        <w:rPr>
          <w:rFonts w:ascii="Verdana" w:hAnsi="Verdana"/>
          <w:sz w:val="24"/>
          <w:szCs w:val="24"/>
        </w:rPr>
        <w:t>muestra los países que adelantan procesos investigativos de gran impacto en el tema</w:t>
      </w:r>
      <w:r w:rsidR="007F2734">
        <w:rPr>
          <w:rFonts w:ascii="Verdana" w:hAnsi="Verdana"/>
          <w:sz w:val="24"/>
          <w:szCs w:val="24"/>
        </w:rPr>
        <w:t xml:space="preserve"> de transición energética destacando la participación de China, </w:t>
      </w:r>
      <w:r w:rsidR="00E93275">
        <w:rPr>
          <w:rFonts w:ascii="Verdana" w:hAnsi="Verdana"/>
          <w:sz w:val="24"/>
          <w:szCs w:val="24"/>
        </w:rPr>
        <w:t>E</w:t>
      </w:r>
      <w:r w:rsidR="007F2734">
        <w:rPr>
          <w:rFonts w:ascii="Verdana" w:hAnsi="Verdana"/>
          <w:sz w:val="24"/>
          <w:szCs w:val="24"/>
        </w:rPr>
        <w:t xml:space="preserve">stados </w:t>
      </w:r>
      <w:r w:rsidR="00E93275">
        <w:rPr>
          <w:rFonts w:ascii="Verdana" w:hAnsi="Verdana"/>
          <w:sz w:val="24"/>
          <w:szCs w:val="24"/>
        </w:rPr>
        <w:t>Unidos e India.</w:t>
      </w:r>
    </w:p>
    <w:p w14:paraId="6005AEC3" w14:textId="77777777" w:rsidR="00A228C5" w:rsidRDefault="00A228C5" w:rsidP="00A14C37">
      <w:pPr>
        <w:spacing w:after="0"/>
        <w:ind w:firstLine="708"/>
        <w:rPr>
          <w:rFonts w:ascii="Verdana" w:hAnsi="Verdana"/>
          <w:sz w:val="24"/>
          <w:szCs w:val="24"/>
        </w:rPr>
      </w:pPr>
    </w:p>
    <w:p w14:paraId="24AD1758" w14:textId="26306623" w:rsidR="00A228C5" w:rsidRDefault="00A228C5" w:rsidP="00A14C37">
      <w:pPr>
        <w:spacing w:after="0"/>
        <w:ind w:firstLine="708"/>
        <w:rPr>
          <w:rFonts w:ascii="Verdana" w:hAnsi="Verdana"/>
          <w:sz w:val="24"/>
          <w:szCs w:val="24"/>
        </w:rPr>
      </w:pPr>
      <w:r>
        <w:rPr>
          <w:rFonts w:ascii="Verdana" w:hAnsi="Verdana"/>
          <w:sz w:val="24"/>
          <w:szCs w:val="24"/>
        </w:rPr>
        <w:t xml:space="preserve">Figura </w:t>
      </w:r>
      <w:r w:rsidR="00F559C9">
        <w:rPr>
          <w:rFonts w:ascii="Verdana" w:hAnsi="Verdana"/>
          <w:sz w:val="24"/>
          <w:szCs w:val="24"/>
        </w:rPr>
        <w:t>3.</w:t>
      </w:r>
      <w:r w:rsidR="00692C9B">
        <w:rPr>
          <w:rFonts w:ascii="Verdana" w:hAnsi="Verdana"/>
          <w:sz w:val="24"/>
          <w:szCs w:val="24"/>
        </w:rPr>
        <w:t xml:space="preserve"> Documentos por país </w:t>
      </w:r>
      <w:r w:rsidR="002E5BAF">
        <w:rPr>
          <w:rFonts w:ascii="Verdana" w:hAnsi="Verdana"/>
          <w:sz w:val="24"/>
          <w:szCs w:val="24"/>
        </w:rPr>
        <w:t>sobre transición energética</w:t>
      </w:r>
    </w:p>
    <w:p w14:paraId="00B25FDA" w14:textId="3A021645" w:rsidR="00A228C5" w:rsidRDefault="00A228C5" w:rsidP="00A14C37">
      <w:pPr>
        <w:spacing w:after="0"/>
        <w:ind w:firstLine="708"/>
        <w:rPr>
          <w:rFonts w:ascii="Verdana" w:hAnsi="Verdana"/>
          <w:sz w:val="24"/>
          <w:szCs w:val="24"/>
        </w:rPr>
      </w:pPr>
      <w:r w:rsidRPr="00A228C5">
        <w:rPr>
          <w:rFonts w:ascii="Verdana" w:hAnsi="Verdana"/>
          <w:noProof/>
          <w:sz w:val="24"/>
          <w:szCs w:val="24"/>
        </w:rPr>
        <w:lastRenderedPageBreak/>
        <w:drawing>
          <wp:inline distT="0" distB="0" distL="0" distR="0" wp14:anchorId="7D1D1A12" wp14:editId="4A7619CC">
            <wp:extent cx="5612130" cy="2583815"/>
            <wp:effectExtent l="0" t="0" r="7620" b="6985"/>
            <wp:docPr id="8170081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008137" name=""/>
                    <pic:cNvPicPr/>
                  </pic:nvPicPr>
                  <pic:blipFill>
                    <a:blip r:embed="rId20"/>
                    <a:stretch>
                      <a:fillRect/>
                    </a:stretch>
                  </pic:blipFill>
                  <pic:spPr>
                    <a:xfrm>
                      <a:off x="0" y="0"/>
                      <a:ext cx="5612130" cy="2583815"/>
                    </a:xfrm>
                    <a:prstGeom prst="rect">
                      <a:avLst/>
                    </a:prstGeom>
                  </pic:spPr>
                </pic:pic>
              </a:graphicData>
            </a:graphic>
          </wp:inline>
        </w:drawing>
      </w:r>
    </w:p>
    <w:p w14:paraId="37C8D5D1" w14:textId="3553B207" w:rsidR="00A228C5" w:rsidRPr="00064D0E" w:rsidRDefault="00A228C5" w:rsidP="00A14C37">
      <w:pPr>
        <w:spacing w:after="0"/>
        <w:ind w:firstLine="708"/>
        <w:rPr>
          <w:rFonts w:ascii="Verdana" w:hAnsi="Verdana"/>
        </w:rPr>
      </w:pPr>
      <w:r w:rsidRPr="00064D0E">
        <w:rPr>
          <w:rFonts w:ascii="Verdana" w:hAnsi="Verdana"/>
        </w:rPr>
        <w:t xml:space="preserve">Fuente </w:t>
      </w:r>
      <w:proofErr w:type="spellStart"/>
      <w:r w:rsidRPr="00064D0E">
        <w:rPr>
          <w:rFonts w:ascii="Verdana" w:hAnsi="Verdana"/>
        </w:rPr>
        <w:t>Scopus</w:t>
      </w:r>
      <w:proofErr w:type="spellEnd"/>
      <w:r w:rsidR="002E5BAF" w:rsidRPr="00064D0E">
        <w:rPr>
          <w:rFonts w:ascii="Verdana" w:hAnsi="Verdana"/>
        </w:rPr>
        <w:t>, 2025</w:t>
      </w:r>
    </w:p>
    <w:p w14:paraId="77B49988" w14:textId="77777777" w:rsidR="002E5BAF" w:rsidRDefault="002E5BAF" w:rsidP="00A14C37">
      <w:pPr>
        <w:spacing w:after="0"/>
        <w:ind w:firstLine="708"/>
        <w:rPr>
          <w:rFonts w:ascii="Verdana" w:hAnsi="Verdana"/>
          <w:sz w:val="24"/>
          <w:szCs w:val="24"/>
        </w:rPr>
      </w:pPr>
    </w:p>
    <w:p w14:paraId="210C10BE" w14:textId="401090FE" w:rsidR="00CB251A" w:rsidRDefault="00CB251A" w:rsidP="00A14C37">
      <w:pPr>
        <w:spacing w:after="0"/>
        <w:ind w:firstLine="708"/>
        <w:rPr>
          <w:rFonts w:ascii="Verdana" w:hAnsi="Verdana"/>
          <w:sz w:val="24"/>
          <w:szCs w:val="24"/>
        </w:rPr>
      </w:pPr>
      <w:r>
        <w:rPr>
          <w:rFonts w:ascii="Verdana" w:hAnsi="Verdana"/>
          <w:sz w:val="24"/>
          <w:szCs w:val="24"/>
        </w:rPr>
        <w:t>Así mismo</w:t>
      </w:r>
      <w:r w:rsidR="00E3601B">
        <w:rPr>
          <w:rFonts w:ascii="Verdana" w:hAnsi="Verdana"/>
          <w:sz w:val="24"/>
          <w:szCs w:val="24"/>
        </w:rPr>
        <w:t xml:space="preserve">, </w:t>
      </w:r>
      <w:r w:rsidR="00F559C9">
        <w:rPr>
          <w:rFonts w:ascii="Verdana" w:hAnsi="Verdana"/>
          <w:sz w:val="24"/>
          <w:szCs w:val="24"/>
        </w:rPr>
        <w:t>las temáticas abordadas por los países destacados se resumen</w:t>
      </w:r>
      <w:r w:rsidR="00F4562B">
        <w:rPr>
          <w:rFonts w:ascii="Verdana" w:hAnsi="Verdana"/>
          <w:sz w:val="24"/>
          <w:szCs w:val="24"/>
        </w:rPr>
        <w:t xml:space="preserve"> en la </w:t>
      </w:r>
      <w:r w:rsidR="0011059B">
        <w:rPr>
          <w:rFonts w:ascii="Verdana" w:hAnsi="Verdana"/>
          <w:sz w:val="24"/>
          <w:szCs w:val="24"/>
        </w:rPr>
        <w:t xml:space="preserve">siguiente </w:t>
      </w:r>
      <w:r w:rsidR="006C7E3D">
        <w:rPr>
          <w:rFonts w:ascii="Verdana" w:hAnsi="Verdana"/>
          <w:sz w:val="24"/>
          <w:szCs w:val="24"/>
        </w:rPr>
        <w:t>tabla:</w:t>
      </w:r>
    </w:p>
    <w:p w14:paraId="191318C7" w14:textId="77777777" w:rsidR="006C7E3D" w:rsidRDefault="006C7E3D" w:rsidP="00A14C37">
      <w:pPr>
        <w:spacing w:after="0"/>
        <w:ind w:firstLine="708"/>
        <w:rPr>
          <w:rFonts w:ascii="Verdana" w:hAnsi="Verdana"/>
          <w:sz w:val="24"/>
          <w:szCs w:val="24"/>
        </w:rPr>
      </w:pPr>
    </w:p>
    <w:p w14:paraId="6BD8D445" w14:textId="296112FC" w:rsidR="006C7E3D" w:rsidRDefault="006C7E3D" w:rsidP="00A14C37">
      <w:pPr>
        <w:spacing w:after="0"/>
        <w:ind w:firstLine="708"/>
        <w:rPr>
          <w:rFonts w:ascii="Verdana" w:hAnsi="Verdana"/>
          <w:sz w:val="24"/>
          <w:szCs w:val="24"/>
        </w:rPr>
      </w:pPr>
      <w:r>
        <w:rPr>
          <w:rFonts w:ascii="Verdana" w:hAnsi="Verdana"/>
          <w:sz w:val="24"/>
          <w:szCs w:val="24"/>
        </w:rPr>
        <w:t xml:space="preserve">Tabla </w:t>
      </w:r>
      <w:r w:rsidR="00F559C9">
        <w:rPr>
          <w:rFonts w:ascii="Verdana" w:hAnsi="Verdana"/>
          <w:sz w:val="24"/>
          <w:szCs w:val="24"/>
        </w:rPr>
        <w:t>2</w:t>
      </w:r>
      <w:r w:rsidR="007C640A">
        <w:rPr>
          <w:rFonts w:ascii="Verdana" w:hAnsi="Verdana"/>
          <w:sz w:val="24"/>
          <w:szCs w:val="24"/>
        </w:rPr>
        <w:t>.</w:t>
      </w:r>
      <w:r w:rsidR="0035574D">
        <w:rPr>
          <w:rFonts w:ascii="Verdana" w:hAnsi="Verdana"/>
          <w:sz w:val="24"/>
          <w:szCs w:val="24"/>
        </w:rPr>
        <w:t xml:space="preserve"> investigaciones científicas </w:t>
      </w:r>
      <w:r w:rsidR="007C640A">
        <w:rPr>
          <w:rFonts w:ascii="Verdana" w:hAnsi="Verdana"/>
          <w:sz w:val="24"/>
          <w:szCs w:val="24"/>
        </w:rPr>
        <w:t xml:space="preserve">sobre transición energética en países pioneros en el tema </w:t>
      </w:r>
    </w:p>
    <w:tbl>
      <w:tblPr>
        <w:tblStyle w:val="Tablanormal2"/>
        <w:tblW w:w="5000" w:type="pct"/>
        <w:tblLook w:val="04A0" w:firstRow="1" w:lastRow="0" w:firstColumn="1" w:lastColumn="0" w:noHBand="0" w:noVBand="1"/>
      </w:tblPr>
      <w:tblGrid>
        <w:gridCol w:w="1548"/>
        <w:gridCol w:w="2153"/>
        <w:gridCol w:w="1448"/>
        <w:gridCol w:w="3689"/>
      </w:tblGrid>
      <w:tr w:rsidR="0011059B" w:rsidRPr="00F559C9" w14:paraId="5A077093" w14:textId="77777777" w:rsidTr="002B40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6" w:type="pct"/>
            <w:hideMark/>
          </w:tcPr>
          <w:p w14:paraId="5C487F34" w14:textId="77777777" w:rsidR="00E04D0D" w:rsidRPr="00E04D0D" w:rsidRDefault="00E04D0D" w:rsidP="00E04D0D">
            <w:pPr>
              <w:spacing w:line="259" w:lineRule="auto"/>
              <w:ind w:firstLine="708"/>
              <w:rPr>
                <w:rFonts w:ascii="Verdana" w:hAnsi="Verdana"/>
                <w:sz w:val="20"/>
                <w:szCs w:val="20"/>
              </w:rPr>
            </w:pPr>
            <w:r w:rsidRPr="00E04D0D">
              <w:rPr>
                <w:rFonts w:ascii="Verdana" w:hAnsi="Verdana"/>
                <w:sz w:val="20"/>
                <w:szCs w:val="20"/>
              </w:rPr>
              <w:t>País</w:t>
            </w:r>
          </w:p>
        </w:tc>
        <w:tc>
          <w:tcPr>
            <w:tcW w:w="1218" w:type="pct"/>
            <w:hideMark/>
          </w:tcPr>
          <w:p w14:paraId="6444D5E4" w14:textId="50F529E3" w:rsidR="00E04D0D" w:rsidRPr="00E04D0D" w:rsidRDefault="00E04D0D" w:rsidP="00E04D0D">
            <w:pPr>
              <w:spacing w:line="259" w:lineRule="auto"/>
              <w:ind w:firstLine="708"/>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E04D0D">
              <w:rPr>
                <w:rFonts w:ascii="Verdana" w:hAnsi="Verdana"/>
                <w:sz w:val="20"/>
                <w:szCs w:val="20"/>
              </w:rPr>
              <w:t>Auto</w:t>
            </w:r>
          </w:p>
        </w:tc>
        <w:tc>
          <w:tcPr>
            <w:tcW w:w="819" w:type="pct"/>
            <w:hideMark/>
          </w:tcPr>
          <w:p w14:paraId="3FCE6A2A" w14:textId="77777777" w:rsidR="00E04D0D" w:rsidRPr="00E04D0D" w:rsidRDefault="00E04D0D" w:rsidP="00E04D0D">
            <w:pPr>
              <w:spacing w:line="259" w:lineRule="auto"/>
              <w:ind w:firstLine="708"/>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E04D0D">
              <w:rPr>
                <w:rFonts w:ascii="Verdana" w:hAnsi="Verdana"/>
                <w:sz w:val="20"/>
                <w:szCs w:val="20"/>
              </w:rPr>
              <w:t>Año</w:t>
            </w:r>
          </w:p>
        </w:tc>
        <w:tc>
          <w:tcPr>
            <w:tcW w:w="2087" w:type="pct"/>
            <w:hideMark/>
          </w:tcPr>
          <w:p w14:paraId="6CCB9B08" w14:textId="032D9F66" w:rsidR="00E04D0D" w:rsidRPr="00E04D0D" w:rsidRDefault="00E04D0D" w:rsidP="00E04D0D">
            <w:pPr>
              <w:spacing w:line="259" w:lineRule="auto"/>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F559C9">
              <w:rPr>
                <w:rFonts w:ascii="Verdana" w:hAnsi="Verdana"/>
                <w:sz w:val="20"/>
                <w:szCs w:val="20"/>
              </w:rPr>
              <w:t>Temáticas abordadas</w:t>
            </w:r>
          </w:p>
        </w:tc>
      </w:tr>
      <w:tr w:rsidR="0011059B" w:rsidRPr="00F559C9" w14:paraId="1E0BA857" w14:textId="77777777" w:rsidTr="00F55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vAlign w:val="center"/>
            <w:hideMark/>
          </w:tcPr>
          <w:p w14:paraId="6A769C2E" w14:textId="77777777" w:rsidR="00E04D0D" w:rsidRPr="00E04D0D" w:rsidRDefault="00E04D0D" w:rsidP="00F559C9">
            <w:pPr>
              <w:spacing w:line="259" w:lineRule="auto"/>
              <w:jc w:val="center"/>
              <w:rPr>
                <w:rFonts w:ascii="Verdana" w:hAnsi="Verdana"/>
                <w:b w:val="0"/>
                <w:bCs w:val="0"/>
                <w:sz w:val="20"/>
                <w:szCs w:val="20"/>
              </w:rPr>
            </w:pPr>
            <w:r w:rsidRPr="00E04D0D">
              <w:rPr>
                <w:rFonts w:ascii="Verdana" w:hAnsi="Verdana"/>
                <w:b w:val="0"/>
                <w:bCs w:val="0"/>
                <w:sz w:val="20"/>
                <w:szCs w:val="20"/>
              </w:rPr>
              <w:t>China</w:t>
            </w:r>
          </w:p>
        </w:tc>
        <w:tc>
          <w:tcPr>
            <w:tcW w:w="1218" w:type="pct"/>
            <w:hideMark/>
          </w:tcPr>
          <w:p w14:paraId="48CEC512" w14:textId="77777777" w:rsidR="00E04D0D" w:rsidRPr="00F559C9" w:rsidRDefault="00E04D0D" w:rsidP="00E04D0D">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E04D0D">
              <w:rPr>
                <w:rFonts w:ascii="Verdana" w:hAnsi="Verdana"/>
                <w:sz w:val="20"/>
                <w:szCs w:val="20"/>
              </w:rPr>
              <w:t>John L. Thornton China Center (Brookings)</w:t>
            </w:r>
          </w:p>
          <w:p w14:paraId="63527650" w14:textId="154487CC" w:rsidR="0011059B" w:rsidRPr="00E04D0D" w:rsidRDefault="0011059B" w:rsidP="00E04D0D">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F559C9">
              <w:rPr>
                <w:rFonts w:ascii="Verdana" w:hAnsi="Verdana"/>
                <w:sz w:val="20"/>
                <w:szCs w:val="20"/>
              </w:rPr>
              <w:t>Palazuelos &amp; García; Zhang (GCE 2019)</w:t>
            </w:r>
          </w:p>
        </w:tc>
        <w:tc>
          <w:tcPr>
            <w:tcW w:w="819" w:type="pct"/>
            <w:hideMark/>
          </w:tcPr>
          <w:p w14:paraId="6D91C096" w14:textId="77777777" w:rsidR="00E04D0D" w:rsidRPr="00E04D0D" w:rsidRDefault="00E04D0D" w:rsidP="00E04D0D">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E04D0D">
              <w:rPr>
                <w:rFonts w:ascii="Verdana" w:hAnsi="Verdana"/>
                <w:sz w:val="20"/>
                <w:szCs w:val="20"/>
              </w:rPr>
              <w:t>2025</w:t>
            </w:r>
          </w:p>
        </w:tc>
        <w:tc>
          <w:tcPr>
            <w:tcW w:w="2087" w:type="pct"/>
            <w:hideMark/>
          </w:tcPr>
          <w:p w14:paraId="690E221C" w14:textId="77777777" w:rsidR="00E04D0D" w:rsidRPr="00F559C9" w:rsidRDefault="005F34F8" w:rsidP="00E04D0D">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F559C9">
              <w:rPr>
                <w:rFonts w:ascii="Verdana" w:hAnsi="Verdana"/>
                <w:sz w:val="20"/>
                <w:szCs w:val="20"/>
              </w:rPr>
              <w:t xml:space="preserve">Energía solar, eólica, seguridad </w:t>
            </w:r>
            <w:r w:rsidR="00BD64F6" w:rsidRPr="00F559C9">
              <w:rPr>
                <w:rFonts w:ascii="Verdana" w:hAnsi="Verdana"/>
                <w:sz w:val="20"/>
                <w:szCs w:val="20"/>
              </w:rPr>
              <w:t>energética, electrificación masiva, innovación tecnológica, políticas industriales verdes</w:t>
            </w:r>
          </w:p>
          <w:p w14:paraId="0B963F6B" w14:textId="4B2774AF" w:rsidR="0011059B" w:rsidRPr="00E04D0D" w:rsidRDefault="000C2E94" w:rsidP="00E04D0D">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F559C9">
              <w:rPr>
                <w:rFonts w:ascii="Verdana" w:hAnsi="Verdana"/>
                <w:sz w:val="20"/>
                <w:szCs w:val="20"/>
              </w:rPr>
              <w:t>Transformación del sistema energético</w:t>
            </w:r>
          </w:p>
        </w:tc>
      </w:tr>
      <w:tr w:rsidR="0011059B" w:rsidRPr="00F559C9" w14:paraId="0E91332D" w14:textId="77777777" w:rsidTr="00F559C9">
        <w:tc>
          <w:tcPr>
            <w:cnfStyle w:val="001000000000" w:firstRow="0" w:lastRow="0" w:firstColumn="1" w:lastColumn="0" w:oddVBand="0" w:evenVBand="0" w:oddHBand="0" w:evenHBand="0" w:firstRowFirstColumn="0" w:firstRowLastColumn="0" w:lastRowFirstColumn="0" w:lastRowLastColumn="0"/>
            <w:tcW w:w="876" w:type="pct"/>
            <w:vAlign w:val="center"/>
            <w:hideMark/>
          </w:tcPr>
          <w:p w14:paraId="4045DB7C" w14:textId="77777777" w:rsidR="00E04D0D" w:rsidRPr="00E04D0D" w:rsidRDefault="00E04D0D" w:rsidP="00F559C9">
            <w:pPr>
              <w:spacing w:line="259" w:lineRule="auto"/>
              <w:jc w:val="center"/>
              <w:rPr>
                <w:rFonts w:ascii="Verdana" w:hAnsi="Verdana"/>
                <w:b w:val="0"/>
                <w:bCs w:val="0"/>
                <w:sz w:val="20"/>
                <w:szCs w:val="20"/>
              </w:rPr>
            </w:pPr>
            <w:r w:rsidRPr="00E04D0D">
              <w:rPr>
                <w:rFonts w:ascii="Verdana" w:hAnsi="Verdana"/>
                <w:b w:val="0"/>
                <w:bCs w:val="0"/>
                <w:sz w:val="20"/>
                <w:szCs w:val="20"/>
              </w:rPr>
              <w:t>Estados Unidos</w:t>
            </w:r>
          </w:p>
        </w:tc>
        <w:tc>
          <w:tcPr>
            <w:tcW w:w="1218" w:type="pct"/>
            <w:hideMark/>
          </w:tcPr>
          <w:p w14:paraId="1BBDBC34" w14:textId="77777777" w:rsidR="00E04D0D" w:rsidRPr="00F559C9" w:rsidRDefault="00E04D0D" w:rsidP="00E04D0D">
            <w:pPr>
              <w:spacing w:line="259" w:lineRule="auto"/>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roofErr w:type="spellStart"/>
            <w:r w:rsidRPr="00E04D0D">
              <w:rPr>
                <w:rFonts w:ascii="Verdana" w:hAnsi="Verdana"/>
                <w:sz w:val="20"/>
                <w:szCs w:val="20"/>
              </w:rPr>
              <w:t>Ember</w:t>
            </w:r>
            <w:proofErr w:type="spellEnd"/>
            <w:r w:rsidRPr="00E04D0D">
              <w:rPr>
                <w:rFonts w:ascii="Verdana" w:hAnsi="Verdana"/>
                <w:sz w:val="20"/>
                <w:szCs w:val="20"/>
              </w:rPr>
              <w:t xml:space="preserve"> Energy, Brookings </w:t>
            </w:r>
            <w:proofErr w:type="spellStart"/>
            <w:r w:rsidRPr="00E04D0D">
              <w:rPr>
                <w:rFonts w:ascii="Verdana" w:hAnsi="Verdana"/>
                <w:sz w:val="20"/>
                <w:szCs w:val="20"/>
              </w:rPr>
              <w:t>Institution</w:t>
            </w:r>
            <w:proofErr w:type="spellEnd"/>
          </w:p>
          <w:p w14:paraId="530201A2" w14:textId="24DAD653" w:rsidR="00160054" w:rsidRPr="00E04D0D" w:rsidRDefault="00160054" w:rsidP="00E04D0D">
            <w:pPr>
              <w:spacing w:line="259" w:lineRule="auto"/>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roofErr w:type="spellStart"/>
            <w:r w:rsidRPr="00F559C9">
              <w:rPr>
                <w:rFonts w:ascii="Verdana" w:hAnsi="Verdana"/>
                <w:sz w:val="20"/>
                <w:szCs w:val="20"/>
              </w:rPr>
              <w:t>Sovacool</w:t>
            </w:r>
            <w:proofErr w:type="spellEnd"/>
            <w:r w:rsidRPr="00F559C9">
              <w:rPr>
                <w:rFonts w:ascii="Verdana" w:hAnsi="Verdana"/>
                <w:sz w:val="20"/>
                <w:szCs w:val="20"/>
              </w:rPr>
              <w:t xml:space="preserve">, </w:t>
            </w:r>
            <w:proofErr w:type="spellStart"/>
            <w:r w:rsidRPr="00F559C9">
              <w:rPr>
                <w:rFonts w:ascii="Verdana" w:hAnsi="Verdana"/>
                <w:sz w:val="20"/>
                <w:szCs w:val="20"/>
              </w:rPr>
              <w:t>Heffron</w:t>
            </w:r>
            <w:proofErr w:type="spellEnd"/>
            <w:r w:rsidRPr="00F559C9">
              <w:rPr>
                <w:rFonts w:ascii="Verdana" w:hAnsi="Verdana"/>
                <w:sz w:val="20"/>
                <w:szCs w:val="20"/>
              </w:rPr>
              <w:t xml:space="preserve">, IRA </w:t>
            </w:r>
            <w:proofErr w:type="spellStart"/>
            <w:r w:rsidRPr="00F559C9">
              <w:rPr>
                <w:rFonts w:ascii="Verdana" w:hAnsi="Verdana"/>
                <w:sz w:val="20"/>
                <w:szCs w:val="20"/>
              </w:rPr>
              <w:t>Policy</w:t>
            </w:r>
            <w:proofErr w:type="spellEnd"/>
            <w:r w:rsidRPr="00F559C9">
              <w:rPr>
                <w:rFonts w:ascii="Verdana" w:hAnsi="Verdana"/>
                <w:sz w:val="20"/>
                <w:szCs w:val="20"/>
              </w:rPr>
              <w:t xml:space="preserve"> </w:t>
            </w:r>
            <w:proofErr w:type="spellStart"/>
            <w:r w:rsidRPr="00F559C9">
              <w:rPr>
                <w:rFonts w:ascii="Verdana" w:hAnsi="Verdana"/>
                <w:sz w:val="20"/>
                <w:szCs w:val="20"/>
              </w:rPr>
              <w:t>Analysts</w:t>
            </w:r>
            <w:proofErr w:type="spellEnd"/>
          </w:p>
        </w:tc>
        <w:tc>
          <w:tcPr>
            <w:tcW w:w="819" w:type="pct"/>
            <w:hideMark/>
          </w:tcPr>
          <w:p w14:paraId="0F0578AC" w14:textId="006225AD" w:rsidR="00E04D0D" w:rsidRPr="00E04D0D" w:rsidRDefault="00E04D0D" w:rsidP="00E04D0D">
            <w:pPr>
              <w:spacing w:line="259" w:lineRule="auto"/>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E04D0D">
              <w:rPr>
                <w:rFonts w:ascii="Verdana" w:hAnsi="Verdana"/>
                <w:sz w:val="20"/>
                <w:szCs w:val="20"/>
              </w:rPr>
              <w:t>202</w:t>
            </w:r>
            <w:r w:rsidR="00160054" w:rsidRPr="00F559C9">
              <w:rPr>
                <w:rFonts w:ascii="Verdana" w:hAnsi="Verdana"/>
                <w:sz w:val="20"/>
                <w:szCs w:val="20"/>
              </w:rPr>
              <w:t>2</w:t>
            </w:r>
            <w:r w:rsidRPr="00E04D0D">
              <w:rPr>
                <w:rFonts w:ascii="Verdana" w:hAnsi="Verdana"/>
                <w:sz w:val="20"/>
                <w:szCs w:val="20"/>
              </w:rPr>
              <w:t>-2025</w:t>
            </w:r>
          </w:p>
        </w:tc>
        <w:tc>
          <w:tcPr>
            <w:tcW w:w="2087" w:type="pct"/>
            <w:hideMark/>
          </w:tcPr>
          <w:p w14:paraId="05940D07" w14:textId="330C6DCD" w:rsidR="00BD64F6" w:rsidRPr="00F559C9" w:rsidRDefault="00BD64F6" w:rsidP="00E04D0D">
            <w:pPr>
              <w:spacing w:line="259" w:lineRule="auto"/>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F559C9">
              <w:rPr>
                <w:rFonts w:ascii="Verdana" w:hAnsi="Verdana"/>
                <w:sz w:val="20"/>
                <w:szCs w:val="20"/>
              </w:rPr>
              <w:t>Políticas publicas de incentivo</w:t>
            </w:r>
            <w:r w:rsidR="00D61FAD" w:rsidRPr="00F559C9">
              <w:rPr>
                <w:rFonts w:ascii="Verdana" w:hAnsi="Verdana"/>
                <w:sz w:val="20"/>
                <w:szCs w:val="20"/>
              </w:rPr>
              <w:t>, matriz energética, eficiencia y economía limpia</w:t>
            </w:r>
            <w:r w:rsidR="00160054" w:rsidRPr="00F559C9">
              <w:rPr>
                <w:rFonts w:ascii="Verdana" w:hAnsi="Verdana"/>
                <w:sz w:val="20"/>
                <w:szCs w:val="20"/>
              </w:rPr>
              <w:t>, descarbonización, financiamiento verde</w:t>
            </w:r>
          </w:p>
          <w:p w14:paraId="5FF329A3" w14:textId="305C7F35" w:rsidR="00E04D0D" w:rsidRPr="00E04D0D" w:rsidRDefault="00E04D0D" w:rsidP="00E04D0D">
            <w:pPr>
              <w:spacing w:line="259" w:lineRule="auto"/>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11059B" w:rsidRPr="00F559C9" w14:paraId="5392DA14" w14:textId="77777777" w:rsidTr="00F55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vAlign w:val="center"/>
            <w:hideMark/>
          </w:tcPr>
          <w:p w14:paraId="7364FA78" w14:textId="77777777" w:rsidR="00E04D0D" w:rsidRPr="00E04D0D" w:rsidRDefault="00E04D0D" w:rsidP="00F559C9">
            <w:pPr>
              <w:spacing w:line="259" w:lineRule="auto"/>
              <w:jc w:val="center"/>
              <w:rPr>
                <w:rFonts w:ascii="Verdana" w:hAnsi="Verdana"/>
                <w:b w:val="0"/>
                <w:bCs w:val="0"/>
                <w:sz w:val="20"/>
                <w:szCs w:val="20"/>
              </w:rPr>
            </w:pPr>
            <w:r w:rsidRPr="00E04D0D">
              <w:rPr>
                <w:rFonts w:ascii="Verdana" w:hAnsi="Verdana"/>
                <w:b w:val="0"/>
                <w:bCs w:val="0"/>
                <w:sz w:val="20"/>
                <w:szCs w:val="20"/>
              </w:rPr>
              <w:t>India</w:t>
            </w:r>
          </w:p>
        </w:tc>
        <w:tc>
          <w:tcPr>
            <w:tcW w:w="1218" w:type="pct"/>
            <w:hideMark/>
          </w:tcPr>
          <w:p w14:paraId="03E9C57C" w14:textId="77777777" w:rsidR="00E04D0D" w:rsidRPr="00E04D0D" w:rsidRDefault="00E04D0D" w:rsidP="00E04D0D">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roofErr w:type="spellStart"/>
            <w:r w:rsidRPr="00E04D0D">
              <w:rPr>
                <w:rFonts w:ascii="Verdana" w:hAnsi="Verdana"/>
                <w:sz w:val="20"/>
                <w:szCs w:val="20"/>
              </w:rPr>
              <w:t>Ember</w:t>
            </w:r>
            <w:proofErr w:type="spellEnd"/>
            <w:r w:rsidRPr="00E04D0D">
              <w:rPr>
                <w:rFonts w:ascii="Verdana" w:hAnsi="Verdana"/>
                <w:sz w:val="20"/>
                <w:szCs w:val="20"/>
              </w:rPr>
              <w:t xml:space="preserve"> Energy, </w:t>
            </w:r>
            <w:proofErr w:type="spellStart"/>
            <w:r w:rsidRPr="00E04D0D">
              <w:rPr>
                <w:rFonts w:ascii="Verdana" w:hAnsi="Verdana"/>
                <w:sz w:val="20"/>
                <w:szCs w:val="20"/>
              </w:rPr>
              <w:t>ScienceDirect</w:t>
            </w:r>
            <w:proofErr w:type="spellEnd"/>
          </w:p>
        </w:tc>
        <w:tc>
          <w:tcPr>
            <w:tcW w:w="819" w:type="pct"/>
            <w:hideMark/>
          </w:tcPr>
          <w:p w14:paraId="3A49CB23" w14:textId="77777777" w:rsidR="00E04D0D" w:rsidRPr="00E04D0D" w:rsidRDefault="00E04D0D" w:rsidP="00E04D0D">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E04D0D">
              <w:rPr>
                <w:rFonts w:ascii="Verdana" w:hAnsi="Verdana"/>
                <w:sz w:val="20"/>
                <w:szCs w:val="20"/>
              </w:rPr>
              <w:t>2024-2025</w:t>
            </w:r>
          </w:p>
        </w:tc>
        <w:tc>
          <w:tcPr>
            <w:tcW w:w="2087" w:type="pct"/>
            <w:hideMark/>
          </w:tcPr>
          <w:p w14:paraId="3C02D42F" w14:textId="045C90E6" w:rsidR="00E04D0D" w:rsidRPr="00E04D0D" w:rsidRDefault="006B504F" w:rsidP="00066EDC">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F559C9">
              <w:rPr>
                <w:rFonts w:ascii="Verdana" w:hAnsi="Verdana"/>
                <w:sz w:val="20"/>
                <w:szCs w:val="20"/>
              </w:rPr>
              <w:t xml:space="preserve">Cambio climático, </w:t>
            </w:r>
            <w:r w:rsidR="00066EDC" w:rsidRPr="00F559C9">
              <w:rPr>
                <w:rFonts w:ascii="Verdana" w:hAnsi="Verdana"/>
                <w:sz w:val="20"/>
                <w:szCs w:val="20"/>
              </w:rPr>
              <w:t>e</w:t>
            </w:r>
            <w:r w:rsidR="00E04D0D" w:rsidRPr="00E04D0D">
              <w:rPr>
                <w:rFonts w:ascii="Verdana" w:hAnsi="Verdana"/>
                <w:sz w:val="20"/>
                <w:szCs w:val="20"/>
              </w:rPr>
              <w:t>xpansión solar y eólica, electrificación rural, reducción pobreza energética, financiamiento climático, políticas de inclusión social y transición en hogares</w:t>
            </w:r>
            <w:r w:rsidR="00695ED5" w:rsidRPr="00F559C9">
              <w:rPr>
                <w:rFonts w:ascii="Verdana" w:hAnsi="Verdana"/>
                <w:sz w:val="20"/>
                <w:szCs w:val="20"/>
              </w:rPr>
              <w:t>, descarbonización</w:t>
            </w:r>
          </w:p>
        </w:tc>
      </w:tr>
      <w:tr w:rsidR="00695ED5" w:rsidRPr="00F559C9" w14:paraId="3D2571D9" w14:textId="77777777" w:rsidTr="00F559C9">
        <w:tc>
          <w:tcPr>
            <w:cnfStyle w:val="001000000000" w:firstRow="0" w:lastRow="0" w:firstColumn="1" w:lastColumn="0" w:oddVBand="0" w:evenVBand="0" w:oddHBand="0" w:evenHBand="0" w:firstRowFirstColumn="0" w:firstRowLastColumn="0" w:lastRowFirstColumn="0" w:lastRowLastColumn="0"/>
            <w:tcW w:w="876" w:type="pct"/>
            <w:vAlign w:val="center"/>
          </w:tcPr>
          <w:p w14:paraId="77C2E2A9" w14:textId="3770D574" w:rsidR="00695ED5" w:rsidRPr="00F559C9" w:rsidRDefault="00695ED5" w:rsidP="00F559C9">
            <w:pPr>
              <w:jc w:val="center"/>
              <w:rPr>
                <w:rFonts w:ascii="Verdana" w:hAnsi="Verdana"/>
                <w:b w:val="0"/>
                <w:bCs w:val="0"/>
                <w:sz w:val="20"/>
                <w:szCs w:val="20"/>
              </w:rPr>
            </w:pPr>
            <w:r w:rsidRPr="00F559C9">
              <w:rPr>
                <w:rFonts w:ascii="Verdana" w:hAnsi="Verdana"/>
                <w:b w:val="0"/>
                <w:bCs w:val="0"/>
                <w:sz w:val="20"/>
                <w:szCs w:val="20"/>
              </w:rPr>
              <w:t>Uni</w:t>
            </w:r>
            <w:r w:rsidR="002B400C" w:rsidRPr="00F559C9">
              <w:rPr>
                <w:rFonts w:ascii="Verdana" w:hAnsi="Verdana"/>
                <w:b w:val="0"/>
                <w:bCs w:val="0"/>
                <w:sz w:val="20"/>
                <w:szCs w:val="20"/>
              </w:rPr>
              <w:t>ón Europea</w:t>
            </w:r>
          </w:p>
        </w:tc>
        <w:tc>
          <w:tcPr>
            <w:tcW w:w="1218" w:type="pct"/>
          </w:tcPr>
          <w:p w14:paraId="0A7E61E9" w14:textId="2B9BE88D" w:rsidR="00695ED5" w:rsidRPr="00F559C9" w:rsidRDefault="002B400C" w:rsidP="00E04D0D">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F559C9">
              <w:rPr>
                <w:rFonts w:ascii="Verdana" w:hAnsi="Verdana"/>
                <w:sz w:val="20"/>
                <w:szCs w:val="20"/>
              </w:rPr>
              <w:t xml:space="preserve">Del Río, </w:t>
            </w:r>
            <w:proofErr w:type="spellStart"/>
            <w:r w:rsidRPr="00F559C9">
              <w:rPr>
                <w:rFonts w:ascii="Verdana" w:hAnsi="Verdana"/>
                <w:sz w:val="20"/>
                <w:szCs w:val="20"/>
              </w:rPr>
              <w:t>Keles</w:t>
            </w:r>
            <w:proofErr w:type="spellEnd"/>
            <w:r w:rsidRPr="00F559C9">
              <w:rPr>
                <w:rFonts w:ascii="Verdana" w:hAnsi="Verdana"/>
                <w:sz w:val="20"/>
                <w:szCs w:val="20"/>
              </w:rPr>
              <w:t xml:space="preserve"> et al.</w:t>
            </w:r>
          </w:p>
        </w:tc>
        <w:tc>
          <w:tcPr>
            <w:tcW w:w="819" w:type="pct"/>
          </w:tcPr>
          <w:p w14:paraId="2D7EEC81" w14:textId="06061D47" w:rsidR="00695ED5" w:rsidRPr="00F559C9" w:rsidRDefault="002B400C" w:rsidP="00E04D0D">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F559C9">
              <w:rPr>
                <w:rFonts w:ascii="Verdana" w:hAnsi="Verdana"/>
                <w:sz w:val="20"/>
                <w:szCs w:val="20"/>
              </w:rPr>
              <w:t>2022-2024</w:t>
            </w:r>
          </w:p>
        </w:tc>
        <w:tc>
          <w:tcPr>
            <w:tcW w:w="2087" w:type="pct"/>
          </w:tcPr>
          <w:p w14:paraId="7943E7ED" w14:textId="013E5A57" w:rsidR="00695ED5" w:rsidRPr="00F559C9" w:rsidRDefault="002B400C" w:rsidP="00066EDC">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F559C9">
              <w:rPr>
                <w:rFonts w:ascii="Verdana" w:hAnsi="Verdana"/>
                <w:sz w:val="20"/>
                <w:szCs w:val="20"/>
              </w:rPr>
              <w:t>Economía circular, regulación renovable, transición justa, eficiencia y almacenamiento energético</w:t>
            </w:r>
          </w:p>
        </w:tc>
      </w:tr>
      <w:tr w:rsidR="002B400C" w:rsidRPr="00F559C9" w14:paraId="7EBE216D" w14:textId="77777777" w:rsidTr="00F55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vAlign w:val="center"/>
          </w:tcPr>
          <w:p w14:paraId="5CB4686A" w14:textId="06EADB7C" w:rsidR="002B400C" w:rsidRPr="00F559C9" w:rsidRDefault="00FD573D" w:rsidP="00F559C9">
            <w:pPr>
              <w:jc w:val="center"/>
              <w:rPr>
                <w:rFonts w:ascii="Verdana" w:hAnsi="Verdana"/>
                <w:b w:val="0"/>
                <w:bCs w:val="0"/>
                <w:sz w:val="20"/>
                <w:szCs w:val="20"/>
              </w:rPr>
            </w:pPr>
            <w:r w:rsidRPr="00F559C9">
              <w:rPr>
                <w:rFonts w:ascii="Verdana" w:hAnsi="Verdana"/>
                <w:b w:val="0"/>
                <w:bCs w:val="0"/>
                <w:sz w:val="20"/>
                <w:szCs w:val="20"/>
              </w:rPr>
              <w:t>Sudáfrica</w:t>
            </w:r>
          </w:p>
        </w:tc>
        <w:tc>
          <w:tcPr>
            <w:tcW w:w="1218" w:type="pct"/>
          </w:tcPr>
          <w:p w14:paraId="1016816E" w14:textId="3A6DC539" w:rsidR="002B400C" w:rsidRPr="00F559C9" w:rsidRDefault="00FD573D" w:rsidP="00E04D0D">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roofErr w:type="spellStart"/>
            <w:r w:rsidRPr="00F559C9">
              <w:rPr>
                <w:rFonts w:ascii="Verdana" w:hAnsi="Verdana"/>
                <w:sz w:val="20"/>
                <w:szCs w:val="20"/>
              </w:rPr>
              <w:t>Mkhosi</w:t>
            </w:r>
            <w:proofErr w:type="spellEnd"/>
            <w:r w:rsidRPr="00F559C9">
              <w:rPr>
                <w:rFonts w:ascii="Verdana" w:hAnsi="Verdana"/>
                <w:sz w:val="20"/>
                <w:szCs w:val="20"/>
              </w:rPr>
              <w:t xml:space="preserve"> et al.</w:t>
            </w:r>
          </w:p>
        </w:tc>
        <w:tc>
          <w:tcPr>
            <w:tcW w:w="819" w:type="pct"/>
          </w:tcPr>
          <w:p w14:paraId="4A70010C" w14:textId="54D4E5A3" w:rsidR="002B400C" w:rsidRPr="00F559C9" w:rsidRDefault="00FD573D" w:rsidP="00E04D0D">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F559C9">
              <w:rPr>
                <w:rFonts w:ascii="Verdana" w:hAnsi="Verdana"/>
                <w:sz w:val="20"/>
                <w:szCs w:val="20"/>
              </w:rPr>
              <w:t>2022</w:t>
            </w:r>
          </w:p>
        </w:tc>
        <w:tc>
          <w:tcPr>
            <w:tcW w:w="2087" w:type="pct"/>
          </w:tcPr>
          <w:p w14:paraId="45E50A04" w14:textId="4C6DE686" w:rsidR="002B400C" w:rsidRPr="00F559C9" w:rsidRDefault="00FD573D" w:rsidP="00066EDC">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F559C9">
              <w:rPr>
                <w:rFonts w:ascii="Verdana" w:hAnsi="Verdana"/>
                <w:sz w:val="20"/>
                <w:szCs w:val="20"/>
              </w:rPr>
              <w:t>Transición justa centrada en inclusión comunitaria</w:t>
            </w:r>
          </w:p>
        </w:tc>
      </w:tr>
    </w:tbl>
    <w:p w14:paraId="312F9C1D" w14:textId="77777777" w:rsidR="00064D0E" w:rsidRPr="00F559C9" w:rsidRDefault="00064D0E" w:rsidP="00064D0E">
      <w:pPr>
        <w:spacing w:after="0"/>
        <w:ind w:firstLine="708"/>
        <w:rPr>
          <w:rFonts w:ascii="Verdana" w:hAnsi="Verdana"/>
          <w:sz w:val="20"/>
          <w:szCs w:val="20"/>
        </w:rPr>
      </w:pPr>
      <w:r w:rsidRPr="00F559C9">
        <w:rPr>
          <w:rFonts w:ascii="Verdana" w:hAnsi="Verdana"/>
          <w:sz w:val="20"/>
          <w:szCs w:val="20"/>
        </w:rPr>
        <w:t xml:space="preserve">Fuente: </w:t>
      </w:r>
      <w:proofErr w:type="spellStart"/>
      <w:r w:rsidRPr="00F559C9">
        <w:rPr>
          <w:rFonts w:ascii="Verdana" w:hAnsi="Verdana"/>
          <w:sz w:val="20"/>
          <w:szCs w:val="20"/>
        </w:rPr>
        <w:t>Scopus</w:t>
      </w:r>
      <w:proofErr w:type="spellEnd"/>
      <w:r w:rsidRPr="00F559C9">
        <w:rPr>
          <w:rFonts w:ascii="Verdana" w:hAnsi="Verdana"/>
          <w:sz w:val="20"/>
          <w:szCs w:val="20"/>
        </w:rPr>
        <w:t>, 2025</w:t>
      </w:r>
    </w:p>
    <w:p w14:paraId="0BF8DD7B" w14:textId="521327A0" w:rsidR="00932576" w:rsidRPr="00A14C37" w:rsidRDefault="002B400C" w:rsidP="00A14C37">
      <w:pPr>
        <w:spacing w:after="0"/>
        <w:ind w:firstLine="708"/>
        <w:rPr>
          <w:rFonts w:ascii="Verdana" w:hAnsi="Verdana"/>
          <w:sz w:val="24"/>
          <w:szCs w:val="24"/>
        </w:rPr>
      </w:pPr>
      <w:r>
        <w:rPr>
          <w:rFonts w:ascii="Verdana" w:hAnsi="Verdana"/>
          <w:sz w:val="24"/>
          <w:szCs w:val="24"/>
        </w:rPr>
        <w:lastRenderedPageBreak/>
        <w:tab/>
      </w:r>
    </w:p>
    <w:p w14:paraId="44FBEA62" w14:textId="07E5F607" w:rsidR="00036666" w:rsidRDefault="00036666" w:rsidP="007C640A">
      <w:pPr>
        <w:spacing w:after="0"/>
        <w:ind w:firstLine="708"/>
        <w:jc w:val="both"/>
        <w:rPr>
          <w:rFonts w:ascii="Verdana" w:hAnsi="Verdana"/>
          <w:sz w:val="24"/>
          <w:szCs w:val="24"/>
        </w:rPr>
      </w:pPr>
      <w:r>
        <w:rPr>
          <w:rFonts w:ascii="Verdana" w:hAnsi="Verdana"/>
          <w:sz w:val="24"/>
          <w:szCs w:val="24"/>
        </w:rPr>
        <w:t>Países como Dinamarca, Finlandia, Suecia, Suiza</w:t>
      </w:r>
      <w:r w:rsidR="009A4EE1">
        <w:rPr>
          <w:rFonts w:ascii="Verdana" w:hAnsi="Verdana"/>
          <w:sz w:val="24"/>
          <w:szCs w:val="24"/>
        </w:rPr>
        <w:t xml:space="preserve"> y Noruega encabezan investigaciones en </w:t>
      </w:r>
      <w:r w:rsidR="00F51456">
        <w:rPr>
          <w:rFonts w:ascii="Verdana" w:hAnsi="Verdana"/>
          <w:sz w:val="24"/>
          <w:szCs w:val="24"/>
        </w:rPr>
        <w:t xml:space="preserve">eficiencia energética y desarrollo de energías renovables. </w:t>
      </w:r>
      <w:r w:rsidR="00C33F43">
        <w:rPr>
          <w:rFonts w:ascii="Verdana" w:hAnsi="Verdana"/>
          <w:sz w:val="24"/>
          <w:szCs w:val="24"/>
        </w:rPr>
        <w:t>Como casos emergentes se</w:t>
      </w:r>
      <w:r w:rsidR="00A0663D">
        <w:rPr>
          <w:rFonts w:ascii="Verdana" w:hAnsi="Verdana"/>
          <w:sz w:val="24"/>
          <w:szCs w:val="24"/>
        </w:rPr>
        <w:t xml:space="preserve"> encuentra</w:t>
      </w:r>
      <w:r w:rsidR="00C33F43">
        <w:rPr>
          <w:rFonts w:ascii="Verdana" w:hAnsi="Verdana"/>
          <w:sz w:val="24"/>
          <w:szCs w:val="24"/>
        </w:rPr>
        <w:t xml:space="preserve"> Brasil que avanza significativamente </w:t>
      </w:r>
      <w:r w:rsidR="00F71FD1">
        <w:rPr>
          <w:rFonts w:ascii="Verdana" w:hAnsi="Verdana"/>
          <w:sz w:val="24"/>
          <w:szCs w:val="24"/>
        </w:rPr>
        <w:t xml:space="preserve">en lo relacionado con energía </w:t>
      </w:r>
      <w:r w:rsidR="00E57830">
        <w:rPr>
          <w:rFonts w:ascii="Verdana" w:hAnsi="Verdana"/>
          <w:sz w:val="24"/>
          <w:szCs w:val="24"/>
        </w:rPr>
        <w:t>solar y</w:t>
      </w:r>
      <w:r w:rsidR="00F71FD1">
        <w:rPr>
          <w:rFonts w:ascii="Verdana" w:hAnsi="Verdana"/>
          <w:sz w:val="24"/>
          <w:szCs w:val="24"/>
        </w:rPr>
        <w:t xml:space="preserve"> energía hidroeléctrica.</w:t>
      </w:r>
    </w:p>
    <w:p w14:paraId="62487416" w14:textId="77777777" w:rsidR="009274CB" w:rsidRDefault="009274CB" w:rsidP="007C640A">
      <w:pPr>
        <w:spacing w:after="0"/>
        <w:ind w:firstLine="708"/>
        <w:jc w:val="both"/>
        <w:rPr>
          <w:rFonts w:ascii="Verdana" w:hAnsi="Verdana"/>
          <w:sz w:val="24"/>
          <w:szCs w:val="24"/>
        </w:rPr>
      </w:pPr>
    </w:p>
    <w:p w14:paraId="0F70241B" w14:textId="791C25BF" w:rsidR="009274CB" w:rsidRDefault="009274CB" w:rsidP="007C640A">
      <w:pPr>
        <w:spacing w:after="0"/>
        <w:ind w:firstLine="708"/>
        <w:jc w:val="both"/>
        <w:rPr>
          <w:rFonts w:ascii="Verdana" w:hAnsi="Verdana"/>
          <w:sz w:val="24"/>
          <w:szCs w:val="24"/>
        </w:rPr>
      </w:pPr>
      <w:r>
        <w:rPr>
          <w:rFonts w:ascii="Verdana" w:hAnsi="Verdana"/>
          <w:sz w:val="24"/>
          <w:szCs w:val="24"/>
        </w:rPr>
        <w:t xml:space="preserve">Para </w:t>
      </w:r>
      <w:r w:rsidR="00A0663D">
        <w:rPr>
          <w:rFonts w:ascii="Verdana" w:hAnsi="Verdana"/>
          <w:sz w:val="24"/>
          <w:szCs w:val="24"/>
        </w:rPr>
        <w:t>C</w:t>
      </w:r>
      <w:r>
        <w:rPr>
          <w:rFonts w:ascii="Verdana" w:hAnsi="Verdana"/>
          <w:sz w:val="24"/>
          <w:szCs w:val="24"/>
        </w:rPr>
        <w:t xml:space="preserve">olombia, </w:t>
      </w:r>
      <w:r w:rsidR="00EB0D8C">
        <w:rPr>
          <w:rFonts w:ascii="Verdana" w:hAnsi="Verdana"/>
          <w:sz w:val="24"/>
          <w:szCs w:val="24"/>
        </w:rPr>
        <w:t>C</w:t>
      </w:r>
      <w:r>
        <w:rPr>
          <w:rFonts w:ascii="Verdana" w:hAnsi="Verdana"/>
          <w:sz w:val="24"/>
          <w:szCs w:val="24"/>
        </w:rPr>
        <w:t>osta Rica, Uruguay, Chile y México existe</w:t>
      </w:r>
      <w:r w:rsidR="00810791">
        <w:rPr>
          <w:rFonts w:ascii="Verdana" w:hAnsi="Verdana"/>
          <w:sz w:val="24"/>
          <w:szCs w:val="24"/>
        </w:rPr>
        <w:t xml:space="preserve"> diversidad frente a los desarrollos que </w:t>
      </w:r>
      <w:r w:rsidR="00F651A7">
        <w:rPr>
          <w:rFonts w:ascii="Verdana" w:hAnsi="Verdana"/>
          <w:sz w:val="24"/>
          <w:szCs w:val="24"/>
        </w:rPr>
        <w:t>adelantan,</w:t>
      </w:r>
      <w:r w:rsidR="00810791">
        <w:rPr>
          <w:rFonts w:ascii="Verdana" w:hAnsi="Verdana"/>
          <w:sz w:val="24"/>
          <w:szCs w:val="24"/>
        </w:rPr>
        <w:t xml:space="preserve"> pero si se centran en electrificación rural</w:t>
      </w:r>
      <w:r w:rsidR="00AB435F">
        <w:rPr>
          <w:rFonts w:ascii="Verdana" w:hAnsi="Verdana"/>
          <w:sz w:val="24"/>
          <w:szCs w:val="24"/>
        </w:rPr>
        <w:t>, políticas de sostenibilidad y cualificación a las comunidades</w:t>
      </w:r>
      <w:r w:rsidR="00E57830">
        <w:rPr>
          <w:rFonts w:ascii="Verdana" w:hAnsi="Verdana"/>
          <w:sz w:val="24"/>
          <w:szCs w:val="24"/>
        </w:rPr>
        <w:t>.</w:t>
      </w:r>
    </w:p>
    <w:p w14:paraId="3E076D1F" w14:textId="131FC602" w:rsidR="00D755A8" w:rsidRDefault="00BE12D8" w:rsidP="007C640A">
      <w:pPr>
        <w:spacing w:after="0"/>
        <w:ind w:firstLine="708"/>
        <w:jc w:val="both"/>
        <w:rPr>
          <w:rFonts w:ascii="Verdana" w:hAnsi="Verdana"/>
          <w:sz w:val="24"/>
          <w:szCs w:val="24"/>
        </w:rPr>
      </w:pPr>
      <w:r>
        <w:rPr>
          <w:rFonts w:ascii="Verdana" w:hAnsi="Verdana"/>
          <w:sz w:val="24"/>
          <w:szCs w:val="24"/>
        </w:rPr>
        <w:t xml:space="preserve"> </w:t>
      </w:r>
    </w:p>
    <w:p w14:paraId="62B9F2FF" w14:textId="5E74B317" w:rsidR="00E71CFF" w:rsidRDefault="00FC3EBA" w:rsidP="007C640A">
      <w:pPr>
        <w:spacing w:after="0"/>
        <w:ind w:firstLine="708"/>
        <w:jc w:val="both"/>
        <w:rPr>
          <w:rFonts w:ascii="Verdana" w:hAnsi="Verdana"/>
          <w:sz w:val="24"/>
          <w:szCs w:val="24"/>
        </w:rPr>
      </w:pPr>
      <w:r>
        <w:rPr>
          <w:rFonts w:ascii="Verdana" w:hAnsi="Verdana"/>
          <w:sz w:val="24"/>
          <w:szCs w:val="24"/>
        </w:rPr>
        <w:t xml:space="preserve">La revisión da cuenta de temáticas con menos investigaciones y abordajes que corresponden a </w:t>
      </w:r>
      <w:r w:rsidR="00565EF3">
        <w:rPr>
          <w:rFonts w:ascii="Verdana" w:hAnsi="Verdana"/>
          <w:sz w:val="24"/>
          <w:szCs w:val="24"/>
        </w:rPr>
        <w:t xml:space="preserve">justicia social y </w:t>
      </w:r>
      <w:r w:rsidR="00E40336">
        <w:rPr>
          <w:rFonts w:ascii="Verdana" w:hAnsi="Verdana"/>
          <w:sz w:val="24"/>
          <w:szCs w:val="24"/>
        </w:rPr>
        <w:t>gobernanza</w:t>
      </w:r>
      <w:r w:rsidR="00565EF3">
        <w:rPr>
          <w:rFonts w:ascii="Verdana" w:hAnsi="Verdana"/>
          <w:sz w:val="24"/>
          <w:szCs w:val="24"/>
        </w:rPr>
        <w:t xml:space="preserve"> inclusiva, </w:t>
      </w:r>
      <w:r w:rsidR="00180636">
        <w:rPr>
          <w:rFonts w:ascii="Verdana" w:hAnsi="Verdana"/>
          <w:sz w:val="24"/>
          <w:szCs w:val="24"/>
        </w:rPr>
        <w:t xml:space="preserve">geopolítica de transición y recursos </w:t>
      </w:r>
      <w:r w:rsidR="00854F65">
        <w:rPr>
          <w:rFonts w:ascii="Verdana" w:hAnsi="Verdana"/>
          <w:sz w:val="24"/>
          <w:szCs w:val="24"/>
        </w:rPr>
        <w:t>críticos,</w:t>
      </w:r>
      <w:r w:rsidR="00180636">
        <w:rPr>
          <w:rFonts w:ascii="Verdana" w:hAnsi="Verdana"/>
          <w:sz w:val="24"/>
          <w:szCs w:val="24"/>
        </w:rPr>
        <w:t xml:space="preserve"> así como la </w:t>
      </w:r>
      <w:r w:rsidR="00E40336">
        <w:rPr>
          <w:rFonts w:ascii="Verdana" w:hAnsi="Verdana"/>
          <w:sz w:val="24"/>
          <w:szCs w:val="24"/>
        </w:rPr>
        <w:t>gestión</w:t>
      </w:r>
      <w:r w:rsidR="00655016">
        <w:rPr>
          <w:rFonts w:ascii="Verdana" w:hAnsi="Verdana"/>
          <w:sz w:val="24"/>
          <w:szCs w:val="24"/>
        </w:rPr>
        <w:t xml:space="preserve"> sostenible y tecnologías para residuos </w:t>
      </w:r>
      <w:r w:rsidR="00E40336">
        <w:rPr>
          <w:rFonts w:ascii="Verdana" w:hAnsi="Verdana"/>
          <w:sz w:val="24"/>
          <w:szCs w:val="24"/>
        </w:rPr>
        <w:t>que</w:t>
      </w:r>
      <w:r w:rsidR="00655016">
        <w:rPr>
          <w:rFonts w:ascii="Verdana" w:hAnsi="Verdana"/>
          <w:sz w:val="24"/>
          <w:szCs w:val="24"/>
        </w:rPr>
        <w:t xml:space="preserve"> bien pudieran ser abordadas desde</w:t>
      </w:r>
      <w:r w:rsidR="00E40336">
        <w:rPr>
          <w:rFonts w:ascii="Verdana" w:hAnsi="Verdana"/>
          <w:sz w:val="24"/>
          <w:szCs w:val="24"/>
        </w:rPr>
        <w:t xml:space="preserve"> la academia en articulación con el sector productivo.</w:t>
      </w:r>
    </w:p>
    <w:p w14:paraId="0018FA4C" w14:textId="77777777" w:rsidR="005722E9" w:rsidRDefault="005722E9" w:rsidP="007C640A">
      <w:pPr>
        <w:spacing w:after="0"/>
        <w:ind w:firstLine="708"/>
        <w:jc w:val="both"/>
        <w:rPr>
          <w:rFonts w:ascii="Verdana" w:hAnsi="Verdana"/>
          <w:sz w:val="24"/>
          <w:szCs w:val="24"/>
        </w:rPr>
      </w:pPr>
    </w:p>
    <w:p w14:paraId="0FA54B76" w14:textId="210AF2A6" w:rsidR="005722E9" w:rsidRDefault="005722E9" w:rsidP="007C640A">
      <w:pPr>
        <w:spacing w:after="0"/>
        <w:ind w:firstLine="708"/>
        <w:jc w:val="both"/>
        <w:rPr>
          <w:rFonts w:ascii="Verdana" w:hAnsi="Verdana"/>
          <w:sz w:val="24"/>
          <w:szCs w:val="24"/>
        </w:rPr>
      </w:pPr>
      <w:r>
        <w:rPr>
          <w:rFonts w:ascii="Verdana" w:hAnsi="Verdana"/>
          <w:sz w:val="24"/>
          <w:szCs w:val="24"/>
        </w:rPr>
        <w:t xml:space="preserve">Por último, desde la </w:t>
      </w:r>
      <w:r w:rsidR="001C39EC">
        <w:rPr>
          <w:rFonts w:ascii="Verdana" w:hAnsi="Verdana"/>
          <w:sz w:val="24"/>
          <w:szCs w:val="24"/>
        </w:rPr>
        <w:t xml:space="preserve">prospectiva investigativa, </w:t>
      </w:r>
      <w:r w:rsidR="00AF1C14">
        <w:rPr>
          <w:rFonts w:ascii="Verdana" w:hAnsi="Verdana"/>
          <w:sz w:val="24"/>
          <w:szCs w:val="24"/>
        </w:rPr>
        <w:t>se proyecta profundizar en temas como:</w:t>
      </w:r>
      <w:r w:rsidR="00CB1907">
        <w:rPr>
          <w:rFonts w:ascii="Verdana" w:hAnsi="Verdana"/>
          <w:sz w:val="24"/>
          <w:szCs w:val="24"/>
        </w:rPr>
        <w:t xml:space="preserve"> impactos económicos, </w:t>
      </w:r>
      <w:r w:rsidR="00B83CE2">
        <w:rPr>
          <w:rFonts w:ascii="Verdana" w:hAnsi="Verdana"/>
          <w:sz w:val="24"/>
          <w:szCs w:val="24"/>
        </w:rPr>
        <w:t xml:space="preserve">política y gobernanza, </w:t>
      </w:r>
      <w:r w:rsidR="008F267D">
        <w:rPr>
          <w:rFonts w:ascii="Verdana" w:hAnsi="Verdana"/>
          <w:sz w:val="24"/>
          <w:szCs w:val="24"/>
        </w:rPr>
        <w:t>aspectos sociales y técnicos</w:t>
      </w:r>
      <w:r w:rsidR="00725215">
        <w:rPr>
          <w:rFonts w:ascii="Verdana" w:hAnsi="Verdana"/>
          <w:sz w:val="24"/>
          <w:szCs w:val="24"/>
        </w:rPr>
        <w:t xml:space="preserve"> y tipos de energía</w:t>
      </w:r>
      <w:r w:rsidR="00E56238">
        <w:rPr>
          <w:rFonts w:ascii="Verdana" w:hAnsi="Verdana"/>
          <w:sz w:val="24"/>
          <w:szCs w:val="24"/>
        </w:rPr>
        <w:t xml:space="preserve"> (Figura 4).</w:t>
      </w:r>
    </w:p>
    <w:p w14:paraId="34B59ED2" w14:textId="77777777" w:rsidR="004F322B" w:rsidRDefault="004F322B" w:rsidP="007C640A">
      <w:pPr>
        <w:spacing w:after="0"/>
        <w:ind w:firstLine="708"/>
        <w:jc w:val="both"/>
        <w:rPr>
          <w:rFonts w:ascii="Verdana" w:hAnsi="Verdana"/>
          <w:sz w:val="24"/>
          <w:szCs w:val="24"/>
        </w:rPr>
      </w:pPr>
    </w:p>
    <w:p w14:paraId="655DA0C6" w14:textId="77777777" w:rsidR="004F322B" w:rsidRDefault="004F322B" w:rsidP="007C640A">
      <w:pPr>
        <w:spacing w:after="0"/>
        <w:ind w:firstLine="708"/>
        <w:jc w:val="both"/>
        <w:rPr>
          <w:rFonts w:ascii="Verdana" w:hAnsi="Verdana"/>
          <w:sz w:val="24"/>
          <w:szCs w:val="24"/>
        </w:rPr>
      </w:pPr>
    </w:p>
    <w:p w14:paraId="10E6BD9B" w14:textId="77777777" w:rsidR="00AF357C" w:rsidRDefault="00AF357C" w:rsidP="007C640A">
      <w:pPr>
        <w:spacing w:after="0"/>
        <w:ind w:firstLine="708"/>
        <w:jc w:val="both"/>
        <w:rPr>
          <w:rFonts w:ascii="Verdana" w:hAnsi="Verdana"/>
          <w:sz w:val="24"/>
          <w:szCs w:val="24"/>
        </w:rPr>
      </w:pPr>
    </w:p>
    <w:p w14:paraId="6CBD9E56" w14:textId="77777777" w:rsidR="00AF357C" w:rsidRDefault="00AF357C" w:rsidP="007C640A">
      <w:pPr>
        <w:spacing w:after="0"/>
        <w:ind w:firstLine="708"/>
        <w:jc w:val="both"/>
        <w:rPr>
          <w:rFonts w:ascii="Verdana" w:hAnsi="Verdana"/>
          <w:sz w:val="24"/>
          <w:szCs w:val="24"/>
        </w:rPr>
      </w:pPr>
    </w:p>
    <w:p w14:paraId="7A1D183B" w14:textId="3424343A" w:rsidR="008A0723" w:rsidRDefault="00E56238" w:rsidP="008A0723">
      <w:pPr>
        <w:rPr>
          <w:rFonts w:ascii="Verdana" w:hAnsi="Verdana"/>
          <w:sz w:val="24"/>
          <w:szCs w:val="24"/>
        </w:rPr>
      </w:pPr>
      <w:r w:rsidRPr="007C640A">
        <w:rPr>
          <w:rFonts w:ascii="Verdana" w:hAnsi="Verdana"/>
          <w:sz w:val="24"/>
          <w:szCs w:val="24"/>
        </w:rPr>
        <w:t>Figura 4</w:t>
      </w:r>
      <w:r w:rsidR="007C640A">
        <w:rPr>
          <w:rFonts w:ascii="Verdana" w:hAnsi="Verdana"/>
          <w:sz w:val="24"/>
          <w:szCs w:val="24"/>
        </w:rPr>
        <w:t>.</w:t>
      </w:r>
      <w:r w:rsidRPr="007C640A">
        <w:rPr>
          <w:rFonts w:ascii="Verdana" w:hAnsi="Verdana"/>
          <w:sz w:val="24"/>
          <w:szCs w:val="24"/>
        </w:rPr>
        <w:t xml:space="preserve"> Prospectiva investigativa </w:t>
      </w:r>
      <w:r w:rsidR="0035574D" w:rsidRPr="007C640A">
        <w:rPr>
          <w:rFonts w:ascii="Verdana" w:hAnsi="Verdana"/>
          <w:sz w:val="24"/>
          <w:szCs w:val="24"/>
        </w:rPr>
        <w:t xml:space="preserve">transición energética </w:t>
      </w:r>
    </w:p>
    <w:p w14:paraId="6FA25BE9" w14:textId="4EDCDCA4" w:rsidR="00DE10D0" w:rsidRDefault="00DC683B">
      <w:pPr>
        <w:rPr>
          <w:rFonts w:ascii="Verdana" w:hAnsi="Verdana"/>
          <w:b/>
          <w:sz w:val="24"/>
          <w:szCs w:val="24"/>
        </w:rPr>
      </w:pPr>
      <w:r>
        <w:rPr>
          <w:noProof/>
        </w:rPr>
        <w:drawing>
          <wp:inline distT="0" distB="0" distL="0" distR="0" wp14:anchorId="1E8ADF0A" wp14:editId="51905766">
            <wp:extent cx="4504029" cy="2406320"/>
            <wp:effectExtent l="0" t="0" r="0" b="0"/>
            <wp:docPr id="14522458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3714" t="5684" r="3241" b="5937"/>
                    <a:stretch>
                      <a:fillRect/>
                    </a:stretch>
                  </pic:blipFill>
                  <pic:spPr bwMode="auto">
                    <a:xfrm>
                      <a:off x="0" y="0"/>
                      <a:ext cx="4512503" cy="2410847"/>
                    </a:xfrm>
                    <a:prstGeom prst="rect">
                      <a:avLst/>
                    </a:prstGeom>
                    <a:noFill/>
                    <a:ln>
                      <a:noFill/>
                    </a:ln>
                    <a:extLst>
                      <a:ext uri="{53640926-AAD7-44D8-BBD7-CCE9431645EC}">
                        <a14:shadowObscured xmlns:a14="http://schemas.microsoft.com/office/drawing/2010/main"/>
                      </a:ext>
                    </a:extLst>
                  </pic:spPr>
                </pic:pic>
              </a:graphicData>
            </a:graphic>
          </wp:inline>
        </w:drawing>
      </w:r>
    </w:p>
    <w:p w14:paraId="09964E08" w14:textId="77777777" w:rsidR="007C640A" w:rsidRPr="00F559C9" w:rsidRDefault="007C640A" w:rsidP="007C640A">
      <w:pPr>
        <w:spacing w:after="0"/>
        <w:ind w:firstLine="708"/>
        <w:rPr>
          <w:rFonts w:ascii="Verdana" w:hAnsi="Verdana"/>
          <w:sz w:val="20"/>
          <w:szCs w:val="20"/>
        </w:rPr>
      </w:pPr>
      <w:r w:rsidRPr="00F559C9">
        <w:rPr>
          <w:rFonts w:ascii="Verdana" w:hAnsi="Verdana"/>
          <w:sz w:val="20"/>
          <w:szCs w:val="20"/>
        </w:rPr>
        <w:t xml:space="preserve">Fuente: </w:t>
      </w:r>
      <w:proofErr w:type="spellStart"/>
      <w:r w:rsidRPr="00F559C9">
        <w:rPr>
          <w:rFonts w:ascii="Verdana" w:hAnsi="Verdana"/>
          <w:sz w:val="20"/>
          <w:szCs w:val="20"/>
        </w:rPr>
        <w:t>Scopus</w:t>
      </w:r>
      <w:proofErr w:type="spellEnd"/>
      <w:r w:rsidRPr="00F559C9">
        <w:rPr>
          <w:rFonts w:ascii="Verdana" w:hAnsi="Verdana"/>
          <w:sz w:val="20"/>
          <w:szCs w:val="20"/>
        </w:rPr>
        <w:t>, 2025</w:t>
      </w:r>
    </w:p>
    <w:p w14:paraId="22F4B857" w14:textId="034BAF72" w:rsidR="00A92D4D" w:rsidRDefault="00A92D4D">
      <w:pPr>
        <w:rPr>
          <w:rFonts w:ascii="Verdana" w:hAnsi="Verdana"/>
          <w:b/>
          <w:sz w:val="24"/>
          <w:szCs w:val="24"/>
        </w:rPr>
      </w:pPr>
    </w:p>
    <w:p w14:paraId="700D2E6E" w14:textId="0A095453" w:rsidR="00E71CFF" w:rsidRDefault="00E71CFF" w:rsidP="00A16D86">
      <w:pPr>
        <w:jc w:val="center"/>
        <w:rPr>
          <w:rFonts w:ascii="Verdana" w:hAnsi="Verdana"/>
          <w:b/>
          <w:sz w:val="24"/>
          <w:szCs w:val="24"/>
        </w:rPr>
      </w:pPr>
      <w:r w:rsidRPr="00E71CFF">
        <w:rPr>
          <w:rFonts w:ascii="Verdana" w:hAnsi="Verdana"/>
          <w:b/>
          <w:sz w:val="24"/>
          <w:szCs w:val="24"/>
        </w:rPr>
        <w:lastRenderedPageBreak/>
        <w:t>CONCLUSIONES.</w:t>
      </w:r>
    </w:p>
    <w:p w14:paraId="3E18A191" w14:textId="77777777" w:rsidR="00A16D86" w:rsidRPr="00E71CFF" w:rsidRDefault="00A16D86" w:rsidP="00A16D86">
      <w:pPr>
        <w:jc w:val="center"/>
        <w:rPr>
          <w:rFonts w:ascii="Verdana" w:hAnsi="Verdana"/>
          <w:b/>
          <w:sz w:val="24"/>
          <w:szCs w:val="24"/>
        </w:rPr>
      </w:pPr>
    </w:p>
    <w:p w14:paraId="255503BA" w14:textId="47E0F8D6" w:rsidR="00A16D86" w:rsidRDefault="00024693" w:rsidP="00EB0D8C">
      <w:pPr>
        <w:ind w:firstLine="708"/>
        <w:jc w:val="both"/>
        <w:rPr>
          <w:rFonts w:ascii="Verdana" w:hAnsi="Verdana"/>
          <w:sz w:val="24"/>
          <w:szCs w:val="24"/>
        </w:rPr>
      </w:pPr>
      <w:r>
        <w:rPr>
          <w:rFonts w:ascii="Verdana" w:hAnsi="Verdana"/>
          <w:sz w:val="24"/>
          <w:szCs w:val="24"/>
        </w:rPr>
        <w:t xml:space="preserve">Pese a que se ve un avance significativo </w:t>
      </w:r>
      <w:r w:rsidR="00281B68">
        <w:rPr>
          <w:rFonts w:ascii="Verdana" w:hAnsi="Verdana"/>
          <w:sz w:val="24"/>
          <w:szCs w:val="24"/>
        </w:rPr>
        <w:t>en lo global aún existen grandes desafíos para la apropiación de tecnologías limpias</w:t>
      </w:r>
      <w:r w:rsidR="00086379">
        <w:rPr>
          <w:rFonts w:ascii="Verdana" w:hAnsi="Verdana"/>
          <w:sz w:val="24"/>
          <w:szCs w:val="24"/>
        </w:rPr>
        <w:t xml:space="preserve">, gobernanza inclusiva y evaluación de impactos ambientales, por lo que se ha de </w:t>
      </w:r>
      <w:r w:rsidR="0017717E">
        <w:rPr>
          <w:rFonts w:ascii="Verdana" w:hAnsi="Verdana"/>
          <w:sz w:val="24"/>
          <w:szCs w:val="24"/>
        </w:rPr>
        <w:t xml:space="preserve">fortalecer la colaboración de los diferentes actores con especial atención a las comunidades </w:t>
      </w:r>
      <w:r w:rsidR="00AF3B1E">
        <w:rPr>
          <w:rFonts w:ascii="Verdana" w:hAnsi="Verdana"/>
          <w:sz w:val="24"/>
          <w:szCs w:val="24"/>
        </w:rPr>
        <w:t>en especial las de un contexto rural.</w:t>
      </w:r>
    </w:p>
    <w:p w14:paraId="4F7D358E" w14:textId="1CB70BAD" w:rsidR="00A16D86" w:rsidRDefault="009D69D2" w:rsidP="00EB0D8C">
      <w:pPr>
        <w:ind w:firstLine="708"/>
        <w:jc w:val="both"/>
        <w:rPr>
          <w:rFonts w:ascii="Verdana" w:hAnsi="Verdana"/>
          <w:sz w:val="24"/>
          <w:szCs w:val="24"/>
        </w:rPr>
      </w:pPr>
      <w:r>
        <w:rPr>
          <w:rFonts w:ascii="Verdana" w:hAnsi="Verdana"/>
          <w:sz w:val="24"/>
          <w:szCs w:val="24"/>
        </w:rPr>
        <w:t xml:space="preserve">El </w:t>
      </w:r>
      <w:r w:rsidR="00CC0CF8">
        <w:rPr>
          <w:rFonts w:ascii="Verdana" w:hAnsi="Verdana"/>
          <w:sz w:val="24"/>
          <w:szCs w:val="24"/>
        </w:rPr>
        <w:t>cambio</w:t>
      </w:r>
      <w:r>
        <w:rPr>
          <w:rFonts w:ascii="Verdana" w:hAnsi="Verdana"/>
          <w:sz w:val="24"/>
          <w:szCs w:val="24"/>
        </w:rPr>
        <w:t xml:space="preserve"> climático y el crecimiento de la demanda </w:t>
      </w:r>
      <w:r w:rsidR="00514632">
        <w:rPr>
          <w:rFonts w:ascii="Verdana" w:hAnsi="Verdana"/>
          <w:sz w:val="24"/>
          <w:szCs w:val="24"/>
        </w:rPr>
        <w:t>energética</w:t>
      </w:r>
      <w:r>
        <w:rPr>
          <w:rFonts w:ascii="Verdana" w:hAnsi="Verdana"/>
          <w:sz w:val="24"/>
          <w:szCs w:val="24"/>
        </w:rPr>
        <w:t xml:space="preserve"> </w:t>
      </w:r>
      <w:r w:rsidR="00514632">
        <w:rPr>
          <w:rFonts w:ascii="Verdana" w:hAnsi="Verdana"/>
          <w:sz w:val="24"/>
          <w:szCs w:val="24"/>
        </w:rPr>
        <w:t xml:space="preserve">global, se constituye en una de las apuestas estratégicas para los </w:t>
      </w:r>
      <w:r w:rsidR="00A16D86">
        <w:rPr>
          <w:rFonts w:ascii="Verdana" w:hAnsi="Verdana"/>
          <w:sz w:val="24"/>
          <w:szCs w:val="24"/>
        </w:rPr>
        <w:t>países,</w:t>
      </w:r>
      <w:r w:rsidR="00387795">
        <w:rPr>
          <w:rFonts w:ascii="Verdana" w:hAnsi="Verdana"/>
          <w:sz w:val="24"/>
          <w:szCs w:val="24"/>
        </w:rPr>
        <w:t xml:space="preserve"> así como el </w:t>
      </w:r>
      <w:r w:rsidR="00024693">
        <w:rPr>
          <w:rFonts w:ascii="Verdana" w:hAnsi="Verdana"/>
          <w:sz w:val="24"/>
          <w:szCs w:val="24"/>
        </w:rPr>
        <w:t>estatus</w:t>
      </w:r>
      <w:r w:rsidR="00387795">
        <w:rPr>
          <w:rFonts w:ascii="Verdana" w:hAnsi="Verdana"/>
          <w:sz w:val="24"/>
          <w:szCs w:val="24"/>
        </w:rPr>
        <w:t xml:space="preserve"> quo que ha de darse a partir de los principios de sostenibilidad</w:t>
      </w:r>
      <w:r w:rsidR="00CC0CF8">
        <w:rPr>
          <w:rFonts w:ascii="Verdana" w:hAnsi="Verdana"/>
          <w:sz w:val="24"/>
          <w:szCs w:val="24"/>
        </w:rPr>
        <w:t xml:space="preserve"> desde una perspectiva </w:t>
      </w:r>
      <w:r w:rsidR="00024693">
        <w:rPr>
          <w:rFonts w:ascii="Verdana" w:hAnsi="Verdana"/>
          <w:sz w:val="24"/>
          <w:szCs w:val="24"/>
        </w:rPr>
        <w:t>regulatoria, justa y equitativa.</w:t>
      </w:r>
    </w:p>
    <w:p w14:paraId="00383AF3" w14:textId="0B998B51" w:rsidR="0026110C" w:rsidRDefault="0026110C" w:rsidP="00024693">
      <w:pPr>
        <w:ind w:firstLine="708"/>
        <w:jc w:val="both"/>
        <w:rPr>
          <w:rFonts w:ascii="Verdana" w:hAnsi="Verdana"/>
          <w:sz w:val="24"/>
          <w:szCs w:val="24"/>
        </w:rPr>
      </w:pPr>
      <w:r>
        <w:rPr>
          <w:rFonts w:ascii="Verdana" w:hAnsi="Verdana"/>
          <w:sz w:val="24"/>
          <w:szCs w:val="24"/>
        </w:rPr>
        <w:t xml:space="preserve">La transición energética justa, pone su </w:t>
      </w:r>
      <w:r w:rsidR="001900F9">
        <w:rPr>
          <w:rFonts w:ascii="Verdana" w:hAnsi="Verdana"/>
          <w:sz w:val="24"/>
          <w:szCs w:val="24"/>
        </w:rPr>
        <w:t xml:space="preserve">enfoque </w:t>
      </w:r>
      <w:r w:rsidR="0011458F">
        <w:rPr>
          <w:rFonts w:ascii="Verdana" w:hAnsi="Verdana"/>
          <w:sz w:val="24"/>
          <w:szCs w:val="24"/>
        </w:rPr>
        <w:t xml:space="preserve">no solo en lo tecnológico y científico, sino que también se apoya </w:t>
      </w:r>
      <w:r w:rsidR="001900F9">
        <w:rPr>
          <w:rFonts w:ascii="Verdana" w:hAnsi="Verdana"/>
          <w:sz w:val="24"/>
          <w:szCs w:val="24"/>
        </w:rPr>
        <w:t>en la equidad, la inclusión s</w:t>
      </w:r>
      <w:r w:rsidR="00E93422">
        <w:rPr>
          <w:rFonts w:ascii="Verdana" w:hAnsi="Verdana"/>
          <w:sz w:val="24"/>
          <w:szCs w:val="24"/>
        </w:rPr>
        <w:t>o</w:t>
      </w:r>
      <w:r w:rsidR="001900F9">
        <w:rPr>
          <w:rFonts w:ascii="Verdana" w:hAnsi="Verdana"/>
          <w:sz w:val="24"/>
          <w:szCs w:val="24"/>
        </w:rPr>
        <w:t>cial</w:t>
      </w:r>
      <w:r w:rsidR="00E93422">
        <w:rPr>
          <w:rFonts w:ascii="Verdana" w:hAnsi="Verdana"/>
          <w:sz w:val="24"/>
          <w:szCs w:val="24"/>
        </w:rPr>
        <w:t xml:space="preserve"> y el respeto por los saberes del territorio</w:t>
      </w:r>
      <w:r w:rsidR="0011458F">
        <w:rPr>
          <w:rFonts w:ascii="Verdana" w:hAnsi="Verdana"/>
          <w:sz w:val="24"/>
          <w:szCs w:val="24"/>
        </w:rPr>
        <w:t xml:space="preserve"> a partir de una lectura y análisis </w:t>
      </w:r>
      <w:r w:rsidR="00A16D86">
        <w:rPr>
          <w:rFonts w:ascii="Verdana" w:hAnsi="Verdana"/>
          <w:sz w:val="24"/>
          <w:szCs w:val="24"/>
        </w:rPr>
        <w:t>de este que</w:t>
      </w:r>
      <w:r w:rsidR="00887694">
        <w:rPr>
          <w:rFonts w:ascii="Verdana" w:hAnsi="Verdana"/>
          <w:sz w:val="24"/>
          <w:szCs w:val="24"/>
        </w:rPr>
        <w:t xml:space="preserve"> contribuya a la mitigación del cambio climático y a la resiliencia </w:t>
      </w:r>
      <w:r w:rsidR="00A16D86">
        <w:rPr>
          <w:rFonts w:ascii="Verdana" w:hAnsi="Verdana"/>
          <w:sz w:val="24"/>
          <w:szCs w:val="24"/>
        </w:rPr>
        <w:t>local.</w:t>
      </w:r>
    </w:p>
    <w:p w14:paraId="175EB943" w14:textId="77777777" w:rsidR="00024693" w:rsidRDefault="00024693" w:rsidP="007A61C1">
      <w:pPr>
        <w:rPr>
          <w:rFonts w:ascii="Verdana" w:hAnsi="Verdana"/>
          <w:sz w:val="24"/>
          <w:szCs w:val="24"/>
        </w:rPr>
      </w:pPr>
    </w:p>
    <w:p w14:paraId="5BAB9093" w14:textId="77777777" w:rsidR="00E71CFF" w:rsidRDefault="00E71CFF" w:rsidP="007A61C1">
      <w:pPr>
        <w:rPr>
          <w:rFonts w:ascii="Verdana" w:hAnsi="Verdana"/>
          <w:sz w:val="24"/>
          <w:szCs w:val="24"/>
        </w:rPr>
      </w:pPr>
    </w:p>
    <w:p w14:paraId="5FD635CF" w14:textId="47EA1B62" w:rsidR="007A61C1" w:rsidRDefault="00FF740B" w:rsidP="00A16D86">
      <w:pPr>
        <w:jc w:val="center"/>
        <w:rPr>
          <w:rFonts w:ascii="Verdana" w:hAnsi="Verdana"/>
          <w:b/>
          <w:sz w:val="24"/>
          <w:szCs w:val="24"/>
        </w:rPr>
      </w:pPr>
      <w:r>
        <w:rPr>
          <w:rFonts w:ascii="Verdana" w:hAnsi="Verdana"/>
          <w:b/>
          <w:sz w:val="24"/>
          <w:szCs w:val="24"/>
        </w:rPr>
        <w:br w:type="page"/>
      </w:r>
      <w:r w:rsidR="00DD0170" w:rsidRPr="00800C23">
        <w:rPr>
          <w:rFonts w:ascii="Verdana" w:hAnsi="Verdana"/>
          <w:b/>
          <w:sz w:val="24"/>
          <w:szCs w:val="24"/>
        </w:rPr>
        <w:lastRenderedPageBreak/>
        <w:t>BIBLIOGRAFÍA.</w:t>
      </w:r>
    </w:p>
    <w:p w14:paraId="5A68D318" w14:textId="77777777" w:rsidR="0030019C" w:rsidRDefault="0030019C" w:rsidP="00AE5D6C">
      <w:pPr>
        <w:rPr>
          <w:rFonts w:ascii="Verdana" w:hAnsi="Verdana"/>
          <w:sz w:val="24"/>
          <w:szCs w:val="24"/>
        </w:rPr>
      </w:pPr>
    </w:p>
    <w:p w14:paraId="400DF833" w14:textId="0A6F3FC3" w:rsidR="00FF740B" w:rsidRDefault="0030019C" w:rsidP="00CF5BB5">
      <w:pPr>
        <w:ind w:left="709" w:hanging="709"/>
        <w:jc w:val="both"/>
        <w:rPr>
          <w:rFonts w:ascii="Verdana" w:hAnsi="Verdana"/>
          <w:sz w:val="24"/>
          <w:szCs w:val="24"/>
        </w:rPr>
      </w:pPr>
      <w:proofErr w:type="spellStart"/>
      <w:r w:rsidRPr="0030019C">
        <w:rPr>
          <w:rFonts w:ascii="Verdana" w:hAnsi="Verdana"/>
          <w:sz w:val="24"/>
          <w:szCs w:val="24"/>
        </w:rPr>
        <w:t>Atutxa</w:t>
      </w:r>
      <w:proofErr w:type="spellEnd"/>
      <w:r w:rsidRPr="0030019C">
        <w:rPr>
          <w:rFonts w:ascii="Verdana" w:hAnsi="Verdana"/>
          <w:sz w:val="24"/>
          <w:szCs w:val="24"/>
        </w:rPr>
        <w:t xml:space="preserve"> Ordeñana, E., Aguado Muñoz, R., &amp; Zubero Beascoechea, I. (2022). Hacia una transición energética justa e inclusiva: la contribución de la Economía Social a la conformación de las Comunidades Energéticas Europeas. </w:t>
      </w:r>
      <w:r w:rsidRPr="0030019C">
        <w:rPr>
          <w:rFonts w:ascii="Verdana" w:hAnsi="Verdana"/>
          <w:i/>
          <w:iCs/>
          <w:sz w:val="24"/>
          <w:szCs w:val="24"/>
        </w:rPr>
        <w:t>CIRIEC-España, Revista De economía Pública, Social Y Cooperativa</w:t>
      </w:r>
      <w:r w:rsidRPr="0030019C">
        <w:rPr>
          <w:rFonts w:ascii="Verdana" w:hAnsi="Verdana"/>
          <w:sz w:val="24"/>
          <w:szCs w:val="24"/>
        </w:rPr>
        <w:t xml:space="preserve">, (104), 113–141. </w:t>
      </w:r>
      <w:hyperlink r:id="rId22" w:history="1">
        <w:r w:rsidRPr="00462FAC">
          <w:rPr>
            <w:rStyle w:val="Hipervnculo"/>
            <w:rFonts w:ascii="Verdana" w:hAnsi="Verdana"/>
            <w:sz w:val="24"/>
            <w:szCs w:val="24"/>
          </w:rPr>
          <w:t>https://doi.org/10.7203/CIRIEC-E.104.21474</w:t>
        </w:r>
      </w:hyperlink>
      <w:r>
        <w:rPr>
          <w:rFonts w:ascii="Verdana" w:hAnsi="Verdana"/>
          <w:sz w:val="24"/>
          <w:szCs w:val="24"/>
        </w:rPr>
        <w:t xml:space="preserve"> </w:t>
      </w:r>
    </w:p>
    <w:p w14:paraId="61E11AB8" w14:textId="0AA6C7FC" w:rsidR="00FD6F0E" w:rsidRDefault="00FF740B" w:rsidP="00CF5BB5">
      <w:pPr>
        <w:ind w:left="709" w:hanging="709"/>
        <w:jc w:val="both"/>
        <w:rPr>
          <w:rFonts w:ascii="Verdana" w:hAnsi="Verdana"/>
          <w:sz w:val="24"/>
          <w:szCs w:val="24"/>
        </w:rPr>
      </w:pPr>
      <w:proofErr w:type="spellStart"/>
      <w:r w:rsidRPr="00FF740B">
        <w:rPr>
          <w:rFonts w:ascii="Verdana" w:hAnsi="Verdana"/>
          <w:sz w:val="24"/>
          <w:szCs w:val="24"/>
        </w:rPr>
        <w:t>Auders</w:t>
      </w:r>
      <w:proofErr w:type="spellEnd"/>
      <w:r w:rsidRPr="00FF740B">
        <w:rPr>
          <w:rFonts w:ascii="Verdana" w:hAnsi="Verdana"/>
          <w:sz w:val="24"/>
          <w:szCs w:val="24"/>
        </w:rPr>
        <w:t xml:space="preserve">, </w:t>
      </w:r>
      <w:proofErr w:type="gramStart"/>
      <w:r w:rsidRPr="00FF740B">
        <w:rPr>
          <w:rFonts w:ascii="Verdana" w:hAnsi="Verdana"/>
          <w:sz w:val="24"/>
          <w:szCs w:val="24"/>
        </w:rPr>
        <w:t>M..</w:t>
      </w:r>
      <w:proofErr w:type="gramEnd"/>
      <w:r w:rsidRPr="00FF740B">
        <w:rPr>
          <w:rFonts w:ascii="Verdana" w:hAnsi="Verdana"/>
          <w:sz w:val="24"/>
          <w:szCs w:val="24"/>
        </w:rPr>
        <w:t xml:space="preserve"> &amp; </w:t>
      </w:r>
      <w:proofErr w:type="spellStart"/>
      <w:r w:rsidRPr="00FF740B">
        <w:rPr>
          <w:rFonts w:ascii="Verdana" w:hAnsi="Verdana"/>
          <w:sz w:val="24"/>
          <w:szCs w:val="24"/>
        </w:rPr>
        <w:t>Lapuke</w:t>
      </w:r>
      <w:proofErr w:type="spellEnd"/>
      <w:r w:rsidRPr="00FF740B">
        <w:rPr>
          <w:rFonts w:ascii="Verdana" w:hAnsi="Verdana"/>
          <w:sz w:val="24"/>
          <w:szCs w:val="24"/>
        </w:rPr>
        <w:t xml:space="preserve">, </w:t>
      </w:r>
      <w:proofErr w:type="gramStart"/>
      <w:r w:rsidRPr="00FF740B">
        <w:rPr>
          <w:rFonts w:ascii="Verdana" w:hAnsi="Verdana"/>
          <w:sz w:val="24"/>
          <w:szCs w:val="24"/>
        </w:rPr>
        <w:t>S..</w:t>
      </w:r>
      <w:proofErr w:type="gramEnd"/>
      <w:r w:rsidRPr="00FF740B">
        <w:rPr>
          <w:rFonts w:ascii="Verdana" w:hAnsi="Verdana"/>
          <w:sz w:val="24"/>
          <w:szCs w:val="24"/>
        </w:rPr>
        <w:t xml:space="preserve"> (2024). </w:t>
      </w:r>
      <w:proofErr w:type="spellStart"/>
      <w:r w:rsidRPr="00FF740B">
        <w:rPr>
          <w:rFonts w:ascii="Verdana" w:hAnsi="Verdana"/>
          <w:sz w:val="24"/>
          <w:szCs w:val="24"/>
        </w:rPr>
        <w:t>Evolving</w:t>
      </w:r>
      <w:proofErr w:type="spellEnd"/>
      <w:r w:rsidRPr="00FF740B">
        <w:rPr>
          <w:rFonts w:ascii="Verdana" w:hAnsi="Verdana"/>
          <w:sz w:val="24"/>
          <w:szCs w:val="24"/>
        </w:rPr>
        <w:t xml:space="preserve"> Concept </w:t>
      </w:r>
      <w:proofErr w:type="spellStart"/>
      <w:r w:rsidRPr="00FF740B">
        <w:rPr>
          <w:rFonts w:ascii="Verdana" w:hAnsi="Verdana"/>
          <w:sz w:val="24"/>
          <w:szCs w:val="24"/>
        </w:rPr>
        <w:t>of</w:t>
      </w:r>
      <w:proofErr w:type="spellEnd"/>
      <w:r w:rsidRPr="00FF740B">
        <w:rPr>
          <w:rFonts w:ascii="Verdana" w:hAnsi="Verdana"/>
          <w:sz w:val="24"/>
          <w:szCs w:val="24"/>
        </w:rPr>
        <w:t xml:space="preserve"> Energy </w:t>
      </w:r>
      <w:proofErr w:type="spellStart"/>
      <w:r w:rsidRPr="00FF740B">
        <w:rPr>
          <w:rFonts w:ascii="Verdana" w:hAnsi="Verdana"/>
          <w:sz w:val="24"/>
          <w:szCs w:val="24"/>
        </w:rPr>
        <w:t>Communities</w:t>
      </w:r>
      <w:proofErr w:type="spellEnd"/>
      <w:r w:rsidRPr="00FF740B">
        <w:rPr>
          <w:rFonts w:ascii="Verdana" w:hAnsi="Verdana"/>
          <w:sz w:val="24"/>
          <w:szCs w:val="24"/>
        </w:rPr>
        <w:t xml:space="preserve"> in </w:t>
      </w:r>
      <w:proofErr w:type="spellStart"/>
      <w:r w:rsidRPr="00FF740B">
        <w:rPr>
          <w:rFonts w:ascii="Verdana" w:hAnsi="Verdana"/>
          <w:sz w:val="24"/>
          <w:szCs w:val="24"/>
        </w:rPr>
        <w:t>the</w:t>
      </w:r>
      <w:proofErr w:type="spellEnd"/>
      <w:r w:rsidRPr="00FF740B">
        <w:rPr>
          <w:rFonts w:ascii="Verdana" w:hAnsi="Verdana"/>
          <w:sz w:val="24"/>
          <w:szCs w:val="24"/>
        </w:rPr>
        <w:t xml:space="preserve"> </w:t>
      </w:r>
      <w:proofErr w:type="spellStart"/>
      <w:r w:rsidRPr="00FF740B">
        <w:rPr>
          <w:rFonts w:ascii="Verdana" w:hAnsi="Verdana"/>
          <w:sz w:val="24"/>
          <w:szCs w:val="24"/>
        </w:rPr>
        <w:t>European</w:t>
      </w:r>
      <w:proofErr w:type="spellEnd"/>
      <w:r w:rsidRPr="00FF740B">
        <w:rPr>
          <w:rFonts w:ascii="Verdana" w:hAnsi="Verdana"/>
          <w:sz w:val="24"/>
          <w:szCs w:val="24"/>
        </w:rPr>
        <w:t xml:space="preserve"> </w:t>
      </w:r>
      <w:proofErr w:type="spellStart"/>
      <w:r w:rsidRPr="00FF740B">
        <w:rPr>
          <w:rFonts w:ascii="Verdana" w:hAnsi="Verdana"/>
          <w:sz w:val="24"/>
          <w:szCs w:val="24"/>
        </w:rPr>
        <w:t>Union</w:t>
      </w:r>
      <w:proofErr w:type="spellEnd"/>
      <w:r w:rsidRPr="00FF740B">
        <w:rPr>
          <w:rFonts w:ascii="Verdana" w:hAnsi="Verdana"/>
          <w:sz w:val="24"/>
          <w:szCs w:val="24"/>
        </w:rPr>
        <w:t>. </w:t>
      </w:r>
      <w:proofErr w:type="spellStart"/>
      <w:r w:rsidRPr="00FF740B">
        <w:rPr>
          <w:rFonts w:ascii="Verdana" w:hAnsi="Verdana"/>
          <w:i/>
          <w:iCs/>
          <w:sz w:val="24"/>
          <w:szCs w:val="24"/>
        </w:rPr>
        <w:t>Latvian</w:t>
      </w:r>
      <w:proofErr w:type="spellEnd"/>
      <w:r w:rsidRPr="00FF740B">
        <w:rPr>
          <w:rFonts w:ascii="Verdana" w:hAnsi="Verdana"/>
          <w:i/>
          <w:iCs/>
          <w:sz w:val="24"/>
          <w:szCs w:val="24"/>
        </w:rPr>
        <w:t xml:space="preserve"> </w:t>
      </w:r>
      <w:proofErr w:type="spellStart"/>
      <w:r w:rsidRPr="00FF740B">
        <w:rPr>
          <w:rFonts w:ascii="Verdana" w:hAnsi="Verdana"/>
          <w:i/>
          <w:iCs/>
          <w:sz w:val="24"/>
          <w:szCs w:val="24"/>
        </w:rPr>
        <w:t>Journal</w:t>
      </w:r>
      <w:proofErr w:type="spellEnd"/>
      <w:r w:rsidRPr="00FF740B">
        <w:rPr>
          <w:rFonts w:ascii="Verdana" w:hAnsi="Verdana"/>
          <w:i/>
          <w:iCs/>
          <w:sz w:val="24"/>
          <w:szCs w:val="24"/>
        </w:rPr>
        <w:t xml:space="preserve"> </w:t>
      </w:r>
      <w:proofErr w:type="spellStart"/>
      <w:r w:rsidRPr="00FF740B">
        <w:rPr>
          <w:rFonts w:ascii="Verdana" w:hAnsi="Verdana"/>
          <w:i/>
          <w:iCs/>
          <w:sz w:val="24"/>
          <w:szCs w:val="24"/>
        </w:rPr>
        <w:t>of</w:t>
      </w:r>
      <w:proofErr w:type="spellEnd"/>
      <w:r w:rsidRPr="00FF740B">
        <w:rPr>
          <w:rFonts w:ascii="Verdana" w:hAnsi="Verdana"/>
          <w:i/>
          <w:iCs/>
          <w:sz w:val="24"/>
          <w:szCs w:val="24"/>
        </w:rPr>
        <w:t xml:space="preserve"> </w:t>
      </w:r>
      <w:proofErr w:type="spellStart"/>
      <w:r w:rsidRPr="00FF740B">
        <w:rPr>
          <w:rFonts w:ascii="Verdana" w:hAnsi="Verdana"/>
          <w:i/>
          <w:iCs/>
          <w:sz w:val="24"/>
          <w:szCs w:val="24"/>
        </w:rPr>
        <w:t>Physics</w:t>
      </w:r>
      <w:proofErr w:type="spellEnd"/>
      <w:r w:rsidRPr="00FF740B">
        <w:rPr>
          <w:rFonts w:ascii="Verdana" w:hAnsi="Verdana"/>
          <w:i/>
          <w:iCs/>
          <w:sz w:val="24"/>
          <w:szCs w:val="24"/>
        </w:rPr>
        <w:t xml:space="preserve"> and </w:t>
      </w:r>
      <w:proofErr w:type="spellStart"/>
      <w:r w:rsidRPr="00FF740B">
        <w:rPr>
          <w:rFonts w:ascii="Verdana" w:hAnsi="Verdana"/>
          <w:i/>
          <w:iCs/>
          <w:sz w:val="24"/>
          <w:szCs w:val="24"/>
        </w:rPr>
        <w:t>Technical</w:t>
      </w:r>
      <w:proofErr w:type="spellEnd"/>
      <w:r w:rsidRPr="00FF740B">
        <w:rPr>
          <w:rFonts w:ascii="Verdana" w:hAnsi="Verdana"/>
          <w:i/>
          <w:iCs/>
          <w:sz w:val="24"/>
          <w:szCs w:val="24"/>
        </w:rPr>
        <w:t xml:space="preserve"> </w:t>
      </w:r>
      <w:proofErr w:type="spellStart"/>
      <w:r w:rsidRPr="00FF740B">
        <w:rPr>
          <w:rFonts w:ascii="Verdana" w:hAnsi="Verdana"/>
          <w:i/>
          <w:iCs/>
          <w:sz w:val="24"/>
          <w:szCs w:val="24"/>
        </w:rPr>
        <w:t>Sciences</w:t>
      </w:r>
      <w:proofErr w:type="spellEnd"/>
      <w:r w:rsidRPr="00FF740B">
        <w:rPr>
          <w:rFonts w:ascii="Verdana" w:hAnsi="Verdana"/>
          <w:sz w:val="24"/>
          <w:szCs w:val="24"/>
        </w:rPr>
        <w:t>, </w:t>
      </w:r>
      <w:r w:rsidRPr="00FF740B">
        <w:rPr>
          <w:rFonts w:ascii="Verdana" w:hAnsi="Verdana"/>
          <w:i/>
          <w:iCs/>
          <w:sz w:val="24"/>
          <w:szCs w:val="24"/>
        </w:rPr>
        <w:t>61</w:t>
      </w:r>
      <w:r w:rsidRPr="00FF740B">
        <w:rPr>
          <w:rFonts w:ascii="Verdana" w:hAnsi="Verdana"/>
          <w:sz w:val="24"/>
          <w:szCs w:val="24"/>
        </w:rPr>
        <w:t>(3), 2024. 53-60. </w:t>
      </w:r>
      <w:hyperlink r:id="rId23" w:tgtFrame="_blank" w:history="1">
        <w:r w:rsidRPr="00FF740B">
          <w:rPr>
            <w:rStyle w:val="Hipervnculo"/>
            <w:rFonts w:ascii="Verdana" w:hAnsi="Verdana"/>
            <w:sz w:val="24"/>
            <w:szCs w:val="24"/>
          </w:rPr>
          <w:t>https://doi.org/10.2478/lpts-2024-0020</w:t>
        </w:r>
      </w:hyperlink>
    </w:p>
    <w:p w14:paraId="4798F352" w14:textId="4E7CFDF7" w:rsidR="008C274D" w:rsidRDefault="008C274D" w:rsidP="00CF5BB5">
      <w:pPr>
        <w:ind w:left="709" w:hanging="709"/>
        <w:jc w:val="both"/>
        <w:rPr>
          <w:rFonts w:ascii="Verdana" w:hAnsi="Verdana"/>
          <w:sz w:val="24"/>
          <w:szCs w:val="24"/>
        </w:rPr>
      </w:pPr>
      <w:r w:rsidRPr="008C274D">
        <w:rPr>
          <w:rFonts w:ascii="Verdana" w:hAnsi="Verdana"/>
          <w:sz w:val="24"/>
          <w:szCs w:val="24"/>
        </w:rPr>
        <w:t>Botero</w:t>
      </w:r>
      <w:r w:rsidRPr="008C274D">
        <w:rPr>
          <w:rFonts w:ascii="Cambria Math" w:hAnsi="Cambria Math" w:cs="Cambria Math"/>
          <w:sz w:val="24"/>
          <w:szCs w:val="24"/>
        </w:rPr>
        <w:t>‑</w:t>
      </w:r>
      <w:r w:rsidRPr="008C274D">
        <w:rPr>
          <w:rFonts w:ascii="Verdana" w:hAnsi="Verdana"/>
          <w:sz w:val="24"/>
          <w:szCs w:val="24"/>
        </w:rPr>
        <w:t xml:space="preserve">Montoya, L. H., </w:t>
      </w:r>
      <w:proofErr w:type="spellStart"/>
      <w:r w:rsidRPr="008C274D">
        <w:rPr>
          <w:rFonts w:ascii="Verdana" w:hAnsi="Verdana"/>
          <w:sz w:val="24"/>
          <w:szCs w:val="24"/>
        </w:rPr>
        <w:t>Zartha</w:t>
      </w:r>
      <w:proofErr w:type="spellEnd"/>
      <w:r w:rsidRPr="008C274D">
        <w:rPr>
          <w:rFonts w:ascii="Verdana" w:hAnsi="Verdana"/>
          <w:sz w:val="24"/>
          <w:szCs w:val="24"/>
        </w:rPr>
        <w:t xml:space="preserve"> Sossa, J. W., Palacio Piedrahíta, J. C., Orozco Mendoza, G. L., Restrepo Montoya, A. F., &amp; Pacheco Pérez, W. A. (2024). </w:t>
      </w:r>
      <w:proofErr w:type="spellStart"/>
      <w:r w:rsidRPr="008C274D">
        <w:rPr>
          <w:rFonts w:ascii="Verdana" w:hAnsi="Verdana"/>
          <w:sz w:val="24"/>
          <w:szCs w:val="24"/>
        </w:rPr>
        <w:t>Innovation</w:t>
      </w:r>
      <w:proofErr w:type="spellEnd"/>
      <w:r w:rsidRPr="008C274D">
        <w:rPr>
          <w:rFonts w:ascii="Verdana" w:hAnsi="Verdana"/>
          <w:sz w:val="24"/>
          <w:szCs w:val="24"/>
        </w:rPr>
        <w:t xml:space="preserve"> </w:t>
      </w:r>
      <w:proofErr w:type="spellStart"/>
      <w:r w:rsidRPr="008C274D">
        <w:rPr>
          <w:rFonts w:ascii="Verdana" w:hAnsi="Verdana"/>
          <w:sz w:val="24"/>
          <w:szCs w:val="24"/>
        </w:rPr>
        <w:t>management</w:t>
      </w:r>
      <w:proofErr w:type="spellEnd"/>
      <w:r w:rsidRPr="008C274D">
        <w:rPr>
          <w:rFonts w:ascii="Verdana" w:hAnsi="Verdana"/>
          <w:sz w:val="24"/>
          <w:szCs w:val="24"/>
        </w:rPr>
        <w:t xml:space="preserve"> </w:t>
      </w:r>
      <w:proofErr w:type="spellStart"/>
      <w:r w:rsidRPr="008C274D">
        <w:rPr>
          <w:rFonts w:ascii="Verdana" w:hAnsi="Verdana"/>
          <w:sz w:val="24"/>
          <w:szCs w:val="24"/>
        </w:rPr>
        <w:t>model</w:t>
      </w:r>
      <w:proofErr w:type="spellEnd"/>
      <w:r w:rsidRPr="008C274D">
        <w:rPr>
          <w:rFonts w:ascii="Verdana" w:hAnsi="Verdana"/>
          <w:sz w:val="24"/>
          <w:szCs w:val="24"/>
        </w:rPr>
        <w:t xml:space="preserve"> </w:t>
      </w:r>
      <w:proofErr w:type="spellStart"/>
      <w:r w:rsidRPr="008C274D">
        <w:rPr>
          <w:rFonts w:ascii="Verdana" w:hAnsi="Verdana"/>
          <w:sz w:val="24"/>
          <w:szCs w:val="24"/>
        </w:rPr>
        <w:t>for</w:t>
      </w:r>
      <w:proofErr w:type="spellEnd"/>
      <w:r w:rsidRPr="008C274D">
        <w:rPr>
          <w:rFonts w:ascii="Verdana" w:hAnsi="Verdana"/>
          <w:sz w:val="24"/>
          <w:szCs w:val="24"/>
        </w:rPr>
        <w:t xml:space="preserve"> </w:t>
      </w:r>
      <w:proofErr w:type="spellStart"/>
      <w:r w:rsidRPr="008C274D">
        <w:rPr>
          <w:rFonts w:ascii="Verdana" w:hAnsi="Verdana"/>
          <w:sz w:val="24"/>
          <w:szCs w:val="24"/>
        </w:rPr>
        <w:t>functional</w:t>
      </w:r>
      <w:proofErr w:type="spellEnd"/>
      <w:r w:rsidRPr="008C274D">
        <w:rPr>
          <w:rFonts w:ascii="Verdana" w:hAnsi="Verdana"/>
          <w:sz w:val="24"/>
          <w:szCs w:val="24"/>
        </w:rPr>
        <w:t xml:space="preserve"> </w:t>
      </w:r>
      <w:proofErr w:type="spellStart"/>
      <w:r w:rsidRPr="008C274D">
        <w:rPr>
          <w:rFonts w:ascii="Verdana" w:hAnsi="Verdana"/>
          <w:sz w:val="24"/>
          <w:szCs w:val="24"/>
        </w:rPr>
        <w:t>food</w:t>
      </w:r>
      <w:proofErr w:type="spellEnd"/>
      <w:r w:rsidRPr="008C274D">
        <w:rPr>
          <w:rFonts w:ascii="Verdana" w:hAnsi="Verdana"/>
          <w:sz w:val="24"/>
          <w:szCs w:val="24"/>
        </w:rPr>
        <w:t xml:space="preserve"> </w:t>
      </w:r>
      <w:proofErr w:type="spellStart"/>
      <w:r w:rsidRPr="008C274D">
        <w:rPr>
          <w:rFonts w:ascii="Verdana" w:hAnsi="Verdana"/>
          <w:sz w:val="24"/>
          <w:szCs w:val="24"/>
        </w:rPr>
        <w:t>ingredients</w:t>
      </w:r>
      <w:proofErr w:type="spellEnd"/>
      <w:r w:rsidRPr="008C274D">
        <w:rPr>
          <w:rFonts w:ascii="Verdana" w:hAnsi="Verdana"/>
          <w:sz w:val="24"/>
          <w:szCs w:val="24"/>
        </w:rPr>
        <w:t xml:space="preserve"> and </w:t>
      </w:r>
      <w:proofErr w:type="spellStart"/>
      <w:r w:rsidRPr="008C274D">
        <w:rPr>
          <w:rFonts w:ascii="Verdana" w:hAnsi="Verdana"/>
          <w:sz w:val="24"/>
          <w:szCs w:val="24"/>
        </w:rPr>
        <w:t>additives</w:t>
      </w:r>
      <w:proofErr w:type="spellEnd"/>
      <w:r w:rsidRPr="008C274D">
        <w:rPr>
          <w:rFonts w:ascii="Verdana" w:hAnsi="Verdana"/>
          <w:sz w:val="24"/>
          <w:szCs w:val="24"/>
        </w:rPr>
        <w:t xml:space="preserve">: </w:t>
      </w:r>
      <w:proofErr w:type="spellStart"/>
      <w:r w:rsidRPr="008C274D">
        <w:rPr>
          <w:rFonts w:ascii="Verdana" w:hAnsi="Verdana"/>
          <w:sz w:val="24"/>
          <w:szCs w:val="24"/>
        </w:rPr>
        <w:t>Alignment</w:t>
      </w:r>
      <w:proofErr w:type="spellEnd"/>
      <w:r w:rsidRPr="008C274D">
        <w:rPr>
          <w:rFonts w:ascii="Verdana" w:hAnsi="Verdana"/>
          <w:sz w:val="24"/>
          <w:szCs w:val="24"/>
        </w:rPr>
        <w:t xml:space="preserve"> </w:t>
      </w:r>
      <w:proofErr w:type="spellStart"/>
      <w:r w:rsidRPr="008C274D">
        <w:rPr>
          <w:rFonts w:ascii="Verdana" w:hAnsi="Verdana"/>
          <w:sz w:val="24"/>
          <w:szCs w:val="24"/>
        </w:rPr>
        <w:t>with</w:t>
      </w:r>
      <w:proofErr w:type="spellEnd"/>
      <w:r w:rsidRPr="008C274D">
        <w:rPr>
          <w:rFonts w:ascii="Verdana" w:hAnsi="Verdana"/>
          <w:sz w:val="24"/>
          <w:szCs w:val="24"/>
        </w:rPr>
        <w:t xml:space="preserve"> </w:t>
      </w:r>
      <w:proofErr w:type="spellStart"/>
      <w:r w:rsidRPr="008C274D">
        <w:rPr>
          <w:rFonts w:ascii="Verdana" w:hAnsi="Verdana"/>
          <w:sz w:val="24"/>
          <w:szCs w:val="24"/>
        </w:rPr>
        <w:t>Hype</w:t>
      </w:r>
      <w:proofErr w:type="spellEnd"/>
      <w:r w:rsidRPr="008C274D">
        <w:rPr>
          <w:rFonts w:ascii="Verdana" w:hAnsi="Verdana"/>
          <w:sz w:val="24"/>
          <w:szCs w:val="24"/>
        </w:rPr>
        <w:t xml:space="preserve"> </w:t>
      </w:r>
      <w:proofErr w:type="spellStart"/>
      <w:r w:rsidRPr="008C274D">
        <w:rPr>
          <w:rFonts w:ascii="Verdana" w:hAnsi="Verdana"/>
          <w:sz w:val="24"/>
          <w:szCs w:val="24"/>
        </w:rPr>
        <w:t>Cycle</w:t>
      </w:r>
      <w:proofErr w:type="spellEnd"/>
      <w:r w:rsidRPr="008C274D">
        <w:rPr>
          <w:rFonts w:ascii="Verdana" w:hAnsi="Verdana"/>
          <w:sz w:val="24"/>
          <w:szCs w:val="24"/>
        </w:rPr>
        <w:t>, Python S</w:t>
      </w:r>
      <w:r w:rsidRPr="008C274D">
        <w:rPr>
          <w:rFonts w:ascii="Cambria Math" w:hAnsi="Cambria Math" w:cs="Cambria Math"/>
          <w:sz w:val="24"/>
          <w:szCs w:val="24"/>
        </w:rPr>
        <w:t>‑</w:t>
      </w:r>
      <w:r w:rsidRPr="008C274D">
        <w:rPr>
          <w:rFonts w:ascii="Verdana" w:hAnsi="Verdana"/>
          <w:sz w:val="24"/>
          <w:szCs w:val="24"/>
        </w:rPr>
        <w:t xml:space="preserve">Curves and open </w:t>
      </w:r>
      <w:proofErr w:type="spellStart"/>
      <w:r w:rsidRPr="008C274D">
        <w:rPr>
          <w:rFonts w:ascii="Verdana" w:hAnsi="Verdana"/>
          <w:sz w:val="24"/>
          <w:szCs w:val="24"/>
        </w:rPr>
        <w:t>innovation</w:t>
      </w:r>
      <w:proofErr w:type="spellEnd"/>
      <w:r w:rsidRPr="008C274D">
        <w:rPr>
          <w:rFonts w:ascii="Verdana" w:hAnsi="Verdana"/>
          <w:sz w:val="24"/>
          <w:szCs w:val="24"/>
        </w:rPr>
        <w:t xml:space="preserve"> variables. </w:t>
      </w:r>
      <w:proofErr w:type="spellStart"/>
      <w:r w:rsidRPr="008C274D">
        <w:rPr>
          <w:rFonts w:ascii="Verdana" w:hAnsi="Verdana"/>
          <w:sz w:val="24"/>
          <w:szCs w:val="24"/>
        </w:rPr>
        <w:t>Journal</w:t>
      </w:r>
      <w:proofErr w:type="spellEnd"/>
      <w:r w:rsidRPr="008C274D">
        <w:rPr>
          <w:rFonts w:ascii="Verdana" w:hAnsi="Verdana"/>
          <w:sz w:val="24"/>
          <w:szCs w:val="24"/>
        </w:rPr>
        <w:t xml:space="preserve"> </w:t>
      </w:r>
      <w:proofErr w:type="spellStart"/>
      <w:r w:rsidRPr="008C274D">
        <w:rPr>
          <w:rFonts w:ascii="Verdana" w:hAnsi="Verdana"/>
          <w:sz w:val="24"/>
          <w:szCs w:val="24"/>
        </w:rPr>
        <w:t>of</w:t>
      </w:r>
      <w:proofErr w:type="spellEnd"/>
      <w:r w:rsidRPr="008C274D">
        <w:rPr>
          <w:rFonts w:ascii="Verdana" w:hAnsi="Verdana"/>
          <w:sz w:val="24"/>
          <w:szCs w:val="24"/>
        </w:rPr>
        <w:t xml:space="preserve"> Open </w:t>
      </w:r>
      <w:proofErr w:type="spellStart"/>
      <w:r w:rsidRPr="008C274D">
        <w:rPr>
          <w:rFonts w:ascii="Verdana" w:hAnsi="Verdana"/>
          <w:sz w:val="24"/>
          <w:szCs w:val="24"/>
        </w:rPr>
        <w:t>Innovation</w:t>
      </w:r>
      <w:proofErr w:type="spellEnd"/>
      <w:r w:rsidRPr="008C274D">
        <w:rPr>
          <w:rFonts w:ascii="Verdana" w:hAnsi="Verdana"/>
          <w:sz w:val="24"/>
          <w:szCs w:val="24"/>
        </w:rPr>
        <w:t xml:space="preserve">: </w:t>
      </w:r>
      <w:proofErr w:type="spellStart"/>
      <w:r w:rsidRPr="008C274D">
        <w:rPr>
          <w:rFonts w:ascii="Verdana" w:hAnsi="Verdana"/>
          <w:sz w:val="24"/>
          <w:szCs w:val="24"/>
        </w:rPr>
        <w:t>Technology</w:t>
      </w:r>
      <w:proofErr w:type="spellEnd"/>
      <w:r w:rsidRPr="008C274D">
        <w:rPr>
          <w:rFonts w:ascii="Verdana" w:hAnsi="Verdana"/>
          <w:sz w:val="24"/>
          <w:szCs w:val="24"/>
        </w:rPr>
        <w:t xml:space="preserve">, </w:t>
      </w:r>
      <w:proofErr w:type="spellStart"/>
      <w:r w:rsidRPr="008C274D">
        <w:rPr>
          <w:rFonts w:ascii="Verdana" w:hAnsi="Verdana"/>
          <w:sz w:val="24"/>
          <w:szCs w:val="24"/>
        </w:rPr>
        <w:t>Market</w:t>
      </w:r>
      <w:proofErr w:type="spellEnd"/>
      <w:r w:rsidRPr="008C274D">
        <w:rPr>
          <w:rFonts w:ascii="Verdana" w:hAnsi="Verdana"/>
          <w:sz w:val="24"/>
          <w:szCs w:val="24"/>
        </w:rPr>
        <w:t xml:space="preserve">, and </w:t>
      </w:r>
      <w:proofErr w:type="spellStart"/>
      <w:r w:rsidRPr="008C274D">
        <w:rPr>
          <w:rFonts w:ascii="Verdana" w:hAnsi="Verdana"/>
          <w:sz w:val="24"/>
          <w:szCs w:val="24"/>
        </w:rPr>
        <w:t>Complexity</w:t>
      </w:r>
      <w:proofErr w:type="spellEnd"/>
      <w:r w:rsidRPr="008C274D">
        <w:rPr>
          <w:rFonts w:ascii="Verdana" w:hAnsi="Verdana"/>
          <w:sz w:val="24"/>
          <w:szCs w:val="24"/>
        </w:rPr>
        <w:t xml:space="preserve">, 10(3), 100365. </w:t>
      </w:r>
      <w:hyperlink r:id="rId24" w:history="1">
        <w:r w:rsidRPr="00462FAC">
          <w:rPr>
            <w:rStyle w:val="Hipervnculo"/>
            <w:rFonts w:ascii="Verdana" w:hAnsi="Verdana"/>
            <w:sz w:val="24"/>
            <w:szCs w:val="24"/>
          </w:rPr>
          <w:t>https://doi.org/10.1016/j.joitmc.2024.100365</w:t>
        </w:r>
      </w:hyperlink>
      <w:r>
        <w:rPr>
          <w:rFonts w:ascii="Verdana" w:hAnsi="Verdana"/>
          <w:sz w:val="24"/>
          <w:szCs w:val="24"/>
        </w:rPr>
        <w:t xml:space="preserve"> </w:t>
      </w:r>
      <w:r w:rsidRPr="008C274D">
        <w:rPr>
          <w:rFonts w:ascii="Verdana" w:hAnsi="Verdana"/>
          <w:sz w:val="24"/>
          <w:szCs w:val="24"/>
        </w:rPr>
        <w:t xml:space="preserve"> </w:t>
      </w:r>
    </w:p>
    <w:p w14:paraId="22AFFCA1" w14:textId="3169EC3F" w:rsidR="002933AD" w:rsidRDefault="002933AD" w:rsidP="00CF5BB5">
      <w:pPr>
        <w:ind w:left="709" w:hanging="709"/>
        <w:jc w:val="both"/>
        <w:rPr>
          <w:rFonts w:ascii="Verdana" w:hAnsi="Verdana"/>
          <w:sz w:val="24"/>
          <w:szCs w:val="24"/>
        </w:rPr>
      </w:pPr>
      <w:r w:rsidRPr="002933AD">
        <w:rPr>
          <w:rFonts w:ascii="Verdana" w:hAnsi="Verdana"/>
          <w:sz w:val="24"/>
          <w:szCs w:val="24"/>
        </w:rPr>
        <w:t xml:space="preserve">Brookings </w:t>
      </w:r>
      <w:proofErr w:type="spellStart"/>
      <w:r w:rsidRPr="002933AD">
        <w:rPr>
          <w:rFonts w:ascii="Verdana" w:hAnsi="Verdana"/>
          <w:sz w:val="24"/>
          <w:szCs w:val="24"/>
        </w:rPr>
        <w:t>Institution</w:t>
      </w:r>
      <w:proofErr w:type="spellEnd"/>
      <w:r w:rsidRPr="002933AD">
        <w:rPr>
          <w:rFonts w:ascii="Verdana" w:hAnsi="Verdana"/>
          <w:sz w:val="24"/>
          <w:szCs w:val="24"/>
        </w:rPr>
        <w:t>. (2025). </w:t>
      </w:r>
      <w:proofErr w:type="spellStart"/>
      <w:r w:rsidRPr="002933AD">
        <w:rPr>
          <w:rFonts w:ascii="Verdana" w:hAnsi="Verdana"/>
          <w:i/>
          <w:iCs/>
          <w:sz w:val="24"/>
          <w:szCs w:val="24"/>
        </w:rPr>
        <w:t>How</w:t>
      </w:r>
      <w:proofErr w:type="spellEnd"/>
      <w:r w:rsidRPr="002933AD">
        <w:rPr>
          <w:rFonts w:ascii="Verdana" w:hAnsi="Verdana"/>
          <w:i/>
          <w:iCs/>
          <w:sz w:val="24"/>
          <w:szCs w:val="24"/>
        </w:rPr>
        <w:t xml:space="preserve"> do China and </w:t>
      </w:r>
      <w:proofErr w:type="spellStart"/>
      <w:r w:rsidRPr="002933AD">
        <w:rPr>
          <w:rFonts w:ascii="Verdana" w:hAnsi="Verdana"/>
          <w:i/>
          <w:iCs/>
          <w:sz w:val="24"/>
          <w:szCs w:val="24"/>
        </w:rPr>
        <w:t>America</w:t>
      </w:r>
      <w:proofErr w:type="spellEnd"/>
      <w:r w:rsidRPr="002933AD">
        <w:rPr>
          <w:rFonts w:ascii="Verdana" w:hAnsi="Verdana"/>
          <w:i/>
          <w:iCs/>
          <w:sz w:val="24"/>
          <w:szCs w:val="24"/>
        </w:rPr>
        <w:t xml:space="preserve"> </w:t>
      </w:r>
      <w:proofErr w:type="spellStart"/>
      <w:r w:rsidRPr="002933AD">
        <w:rPr>
          <w:rFonts w:ascii="Verdana" w:hAnsi="Verdana"/>
          <w:i/>
          <w:iCs/>
          <w:sz w:val="24"/>
          <w:szCs w:val="24"/>
        </w:rPr>
        <w:t>think</w:t>
      </w:r>
      <w:proofErr w:type="spellEnd"/>
      <w:r w:rsidRPr="002933AD">
        <w:rPr>
          <w:rFonts w:ascii="Verdana" w:hAnsi="Verdana"/>
          <w:i/>
          <w:iCs/>
          <w:sz w:val="24"/>
          <w:szCs w:val="24"/>
        </w:rPr>
        <w:t xml:space="preserve"> </w:t>
      </w:r>
      <w:proofErr w:type="spellStart"/>
      <w:r w:rsidRPr="002933AD">
        <w:rPr>
          <w:rFonts w:ascii="Verdana" w:hAnsi="Verdana"/>
          <w:i/>
          <w:iCs/>
          <w:sz w:val="24"/>
          <w:szCs w:val="24"/>
        </w:rPr>
        <w:t>about</w:t>
      </w:r>
      <w:proofErr w:type="spellEnd"/>
      <w:r w:rsidRPr="002933AD">
        <w:rPr>
          <w:rFonts w:ascii="Verdana" w:hAnsi="Verdana"/>
          <w:i/>
          <w:iCs/>
          <w:sz w:val="24"/>
          <w:szCs w:val="24"/>
        </w:rPr>
        <w:t xml:space="preserve"> </w:t>
      </w:r>
      <w:proofErr w:type="spellStart"/>
      <w:r w:rsidRPr="002933AD">
        <w:rPr>
          <w:rFonts w:ascii="Verdana" w:hAnsi="Verdana"/>
          <w:i/>
          <w:iCs/>
          <w:sz w:val="24"/>
          <w:szCs w:val="24"/>
        </w:rPr>
        <w:t>the</w:t>
      </w:r>
      <w:proofErr w:type="spellEnd"/>
      <w:r w:rsidRPr="002933AD">
        <w:rPr>
          <w:rFonts w:ascii="Verdana" w:hAnsi="Verdana"/>
          <w:i/>
          <w:iCs/>
          <w:sz w:val="24"/>
          <w:szCs w:val="24"/>
        </w:rPr>
        <w:t xml:space="preserve"> </w:t>
      </w:r>
      <w:proofErr w:type="spellStart"/>
      <w:r w:rsidRPr="002933AD">
        <w:rPr>
          <w:rFonts w:ascii="Verdana" w:hAnsi="Verdana"/>
          <w:i/>
          <w:iCs/>
          <w:sz w:val="24"/>
          <w:szCs w:val="24"/>
        </w:rPr>
        <w:t>energy</w:t>
      </w:r>
      <w:proofErr w:type="spellEnd"/>
      <w:r w:rsidRPr="002933AD">
        <w:rPr>
          <w:rFonts w:ascii="Verdana" w:hAnsi="Verdana"/>
          <w:i/>
          <w:iCs/>
          <w:sz w:val="24"/>
          <w:szCs w:val="24"/>
        </w:rPr>
        <w:t xml:space="preserve"> transition?</w:t>
      </w:r>
      <w:r w:rsidRPr="002933AD">
        <w:rPr>
          <w:rFonts w:ascii="Verdana" w:hAnsi="Verdana"/>
          <w:sz w:val="24"/>
          <w:szCs w:val="24"/>
        </w:rPr>
        <w:t> </w:t>
      </w:r>
      <w:hyperlink r:id="rId25" w:tgtFrame="_blank" w:history="1">
        <w:r w:rsidRPr="002933AD">
          <w:rPr>
            <w:rStyle w:val="Hipervnculo"/>
            <w:rFonts w:ascii="Verdana" w:hAnsi="Verdana"/>
            <w:sz w:val="24"/>
            <w:szCs w:val="24"/>
          </w:rPr>
          <w:t>https://www.brookings.edu/articles/how-do-china-and-america-think-about-the-energy-transition/</w:t>
        </w:r>
      </w:hyperlink>
    </w:p>
    <w:p w14:paraId="34BD473B" w14:textId="36101986" w:rsidR="00C5715A" w:rsidRDefault="00C5715A" w:rsidP="00CF5BB5">
      <w:pPr>
        <w:ind w:left="709" w:hanging="709"/>
        <w:jc w:val="both"/>
        <w:rPr>
          <w:rFonts w:ascii="Verdana" w:hAnsi="Verdana"/>
          <w:sz w:val="24"/>
          <w:szCs w:val="24"/>
        </w:rPr>
      </w:pPr>
      <w:r>
        <w:rPr>
          <w:rFonts w:ascii="Verdana" w:hAnsi="Verdana"/>
          <w:sz w:val="24"/>
          <w:szCs w:val="24"/>
        </w:rPr>
        <w:t>C</w:t>
      </w:r>
      <w:r w:rsidRPr="007A3AD4">
        <w:rPr>
          <w:rFonts w:ascii="Verdana" w:hAnsi="Verdana"/>
          <w:sz w:val="24"/>
          <w:szCs w:val="24"/>
        </w:rPr>
        <w:t xml:space="preserve">ongreso de Colombia. (2014, 13 de mayo). </w:t>
      </w:r>
      <w:r w:rsidRPr="007A3AD4">
        <w:rPr>
          <w:rFonts w:ascii="Verdana" w:hAnsi="Verdana"/>
          <w:i/>
          <w:iCs/>
          <w:sz w:val="24"/>
          <w:szCs w:val="24"/>
        </w:rPr>
        <w:t>Ley 1715 de 2014: Por medio de la cual se regula la integración de las energías renovables no convencionales al sistema energético nacional</w:t>
      </w:r>
      <w:r w:rsidRPr="007A3AD4">
        <w:rPr>
          <w:rFonts w:ascii="Verdana" w:hAnsi="Verdana"/>
          <w:sz w:val="24"/>
          <w:szCs w:val="24"/>
        </w:rPr>
        <w:t xml:space="preserve">. Diario Oficial </w:t>
      </w:r>
      <w:proofErr w:type="spellStart"/>
      <w:r w:rsidRPr="007A3AD4">
        <w:rPr>
          <w:rFonts w:ascii="Verdana" w:hAnsi="Verdana"/>
          <w:sz w:val="24"/>
          <w:szCs w:val="24"/>
        </w:rPr>
        <w:t>n.°</w:t>
      </w:r>
      <w:proofErr w:type="spellEnd"/>
      <w:r w:rsidRPr="007A3AD4">
        <w:rPr>
          <w:rFonts w:ascii="Verdana" w:hAnsi="Verdana"/>
          <w:sz w:val="24"/>
          <w:szCs w:val="24"/>
        </w:rPr>
        <w:t xml:space="preserve"> 49.150. </w:t>
      </w:r>
      <w:hyperlink r:id="rId26" w:history="1">
        <w:r w:rsidRPr="00462FAC">
          <w:rPr>
            <w:rStyle w:val="Hipervnculo"/>
            <w:rFonts w:ascii="Verdana" w:hAnsi="Verdana"/>
            <w:sz w:val="24"/>
            <w:szCs w:val="24"/>
          </w:rPr>
          <w:t>https://www.funcionpublica.gov.co/eva/gestornormativo/norma.php?i=57353</w:t>
        </w:r>
      </w:hyperlink>
    </w:p>
    <w:p w14:paraId="5DE5F575" w14:textId="25E39CF3" w:rsidR="00C5715A" w:rsidRDefault="00C5715A" w:rsidP="00CF5BB5">
      <w:pPr>
        <w:ind w:left="709" w:hanging="709"/>
        <w:jc w:val="both"/>
        <w:rPr>
          <w:rFonts w:ascii="Verdana" w:hAnsi="Verdana"/>
          <w:sz w:val="24"/>
          <w:szCs w:val="24"/>
        </w:rPr>
      </w:pPr>
      <w:r w:rsidRPr="00D43E6B">
        <w:rPr>
          <w:rFonts w:ascii="Verdana" w:hAnsi="Verdana"/>
          <w:sz w:val="24"/>
          <w:szCs w:val="24"/>
        </w:rPr>
        <w:t xml:space="preserve">Del Río, P. (2017). Coal </w:t>
      </w:r>
      <w:proofErr w:type="spellStart"/>
      <w:r w:rsidRPr="00D43E6B">
        <w:rPr>
          <w:rFonts w:ascii="Verdana" w:hAnsi="Verdana"/>
          <w:sz w:val="24"/>
          <w:szCs w:val="24"/>
        </w:rPr>
        <w:t>transition</w:t>
      </w:r>
      <w:proofErr w:type="spellEnd"/>
      <w:r w:rsidRPr="00D43E6B">
        <w:rPr>
          <w:rFonts w:ascii="Verdana" w:hAnsi="Verdana"/>
          <w:sz w:val="24"/>
          <w:szCs w:val="24"/>
        </w:rPr>
        <w:t xml:space="preserve"> in </w:t>
      </w:r>
      <w:proofErr w:type="spellStart"/>
      <w:r w:rsidRPr="00D43E6B">
        <w:rPr>
          <w:rFonts w:ascii="Verdana" w:hAnsi="Verdana"/>
          <w:sz w:val="24"/>
          <w:szCs w:val="24"/>
        </w:rPr>
        <w:t>Spain</w:t>
      </w:r>
      <w:proofErr w:type="spellEnd"/>
      <w:r w:rsidRPr="00D43E6B">
        <w:rPr>
          <w:rFonts w:ascii="Verdana" w:hAnsi="Verdana"/>
          <w:sz w:val="24"/>
          <w:szCs w:val="24"/>
        </w:rPr>
        <w:t xml:space="preserve">: </w:t>
      </w:r>
      <w:proofErr w:type="spellStart"/>
      <w:r w:rsidRPr="00D43E6B">
        <w:rPr>
          <w:rFonts w:ascii="Verdana" w:hAnsi="Verdana"/>
          <w:sz w:val="24"/>
          <w:szCs w:val="24"/>
        </w:rPr>
        <w:t>Policy</w:t>
      </w:r>
      <w:proofErr w:type="spellEnd"/>
      <w:r w:rsidRPr="00D43E6B">
        <w:rPr>
          <w:rFonts w:ascii="Verdana" w:hAnsi="Verdana"/>
          <w:sz w:val="24"/>
          <w:szCs w:val="24"/>
        </w:rPr>
        <w:t xml:space="preserve"> drivers and </w:t>
      </w:r>
      <w:proofErr w:type="spellStart"/>
      <w:r w:rsidRPr="00D43E6B">
        <w:rPr>
          <w:rFonts w:ascii="Verdana" w:hAnsi="Verdana"/>
          <w:sz w:val="24"/>
          <w:szCs w:val="24"/>
        </w:rPr>
        <w:t>socioeconomic</w:t>
      </w:r>
      <w:proofErr w:type="spellEnd"/>
      <w:r w:rsidRPr="00D43E6B">
        <w:rPr>
          <w:rFonts w:ascii="Verdana" w:hAnsi="Verdana"/>
          <w:sz w:val="24"/>
          <w:szCs w:val="24"/>
        </w:rPr>
        <w:t xml:space="preserve"> </w:t>
      </w:r>
      <w:proofErr w:type="spellStart"/>
      <w:r w:rsidRPr="00D43E6B">
        <w:rPr>
          <w:rFonts w:ascii="Verdana" w:hAnsi="Verdana"/>
          <w:sz w:val="24"/>
          <w:szCs w:val="24"/>
        </w:rPr>
        <w:t>impacts</w:t>
      </w:r>
      <w:proofErr w:type="spellEnd"/>
      <w:r w:rsidRPr="00D43E6B">
        <w:rPr>
          <w:rFonts w:ascii="Verdana" w:hAnsi="Verdana"/>
          <w:sz w:val="24"/>
          <w:szCs w:val="24"/>
        </w:rPr>
        <w:t>. </w:t>
      </w:r>
      <w:r w:rsidRPr="00D43E6B">
        <w:rPr>
          <w:rFonts w:ascii="Verdana" w:hAnsi="Verdana"/>
          <w:i/>
          <w:iCs/>
          <w:sz w:val="24"/>
          <w:szCs w:val="24"/>
        </w:rPr>
        <w:t xml:space="preserve">IDDRI and </w:t>
      </w:r>
      <w:proofErr w:type="spellStart"/>
      <w:r w:rsidRPr="00D43E6B">
        <w:rPr>
          <w:rFonts w:ascii="Verdana" w:hAnsi="Verdana"/>
          <w:i/>
          <w:iCs/>
          <w:sz w:val="24"/>
          <w:szCs w:val="24"/>
        </w:rPr>
        <w:t>Climate</w:t>
      </w:r>
      <w:proofErr w:type="spellEnd"/>
      <w:r w:rsidRPr="00D43E6B">
        <w:rPr>
          <w:rFonts w:ascii="Verdana" w:hAnsi="Verdana"/>
          <w:i/>
          <w:iCs/>
          <w:sz w:val="24"/>
          <w:szCs w:val="24"/>
        </w:rPr>
        <w:t xml:space="preserve"> Strategies</w:t>
      </w:r>
      <w:r w:rsidRPr="00D43E6B">
        <w:rPr>
          <w:rFonts w:ascii="Verdana" w:hAnsi="Verdana"/>
          <w:sz w:val="24"/>
          <w:szCs w:val="24"/>
        </w:rPr>
        <w:t>. </w:t>
      </w:r>
      <w:hyperlink r:id="rId27" w:tgtFrame="_blank" w:history="1">
        <w:r w:rsidRPr="00D43E6B">
          <w:rPr>
            <w:rStyle w:val="Hipervnculo"/>
            <w:rFonts w:ascii="Verdana" w:hAnsi="Verdana"/>
            <w:sz w:val="24"/>
            <w:szCs w:val="24"/>
          </w:rPr>
          <w:t>https://coaltransitions.org/publications/?authors=Pablo+del+R%C3%ADo</w:t>
        </w:r>
      </w:hyperlink>
    </w:p>
    <w:p w14:paraId="0423DF66" w14:textId="6F3DFA0F" w:rsidR="00C5715A" w:rsidRDefault="00C5715A" w:rsidP="00CF5BB5">
      <w:pPr>
        <w:ind w:left="709" w:hanging="709"/>
        <w:jc w:val="both"/>
        <w:rPr>
          <w:rFonts w:ascii="Verdana" w:hAnsi="Verdana"/>
          <w:sz w:val="24"/>
          <w:szCs w:val="24"/>
        </w:rPr>
      </w:pPr>
      <w:proofErr w:type="spellStart"/>
      <w:r>
        <w:rPr>
          <w:rFonts w:ascii="Verdana" w:hAnsi="Verdana"/>
          <w:sz w:val="24"/>
          <w:szCs w:val="24"/>
        </w:rPr>
        <w:t>E</w:t>
      </w:r>
      <w:r w:rsidRPr="009043C0">
        <w:rPr>
          <w:rFonts w:ascii="Verdana" w:hAnsi="Verdana"/>
          <w:sz w:val="24"/>
          <w:szCs w:val="24"/>
        </w:rPr>
        <w:t>mber</w:t>
      </w:r>
      <w:proofErr w:type="spellEnd"/>
      <w:r w:rsidRPr="009043C0">
        <w:rPr>
          <w:rFonts w:ascii="Verdana" w:hAnsi="Verdana"/>
          <w:sz w:val="24"/>
          <w:szCs w:val="24"/>
        </w:rPr>
        <w:t xml:space="preserve">. (2025). Global </w:t>
      </w:r>
      <w:proofErr w:type="spellStart"/>
      <w:r w:rsidRPr="009043C0">
        <w:rPr>
          <w:rFonts w:ascii="Verdana" w:hAnsi="Verdana"/>
          <w:sz w:val="24"/>
          <w:szCs w:val="24"/>
        </w:rPr>
        <w:t>Electricity</w:t>
      </w:r>
      <w:proofErr w:type="spellEnd"/>
      <w:r w:rsidRPr="009043C0">
        <w:rPr>
          <w:rFonts w:ascii="Verdana" w:hAnsi="Verdana"/>
          <w:sz w:val="24"/>
          <w:szCs w:val="24"/>
        </w:rPr>
        <w:t xml:space="preserve"> </w:t>
      </w:r>
      <w:proofErr w:type="spellStart"/>
      <w:r w:rsidRPr="009043C0">
        <w:rPr>
          <w:rFonts w:ascii="Verdana" w:hAnsi="Verdana"/>
          <w:sz w:val="24"/>
          <w:szCs w:val="24"/>
        </w:rPr>
        <w:t>Review</w:t>
      </w:r>
      <w:proofErr w:type="spellEnd"/>
      <w:r w:rsidRPr="009043C0">
        <w:rPr>
          <w:rFonts w:ascii="Verdana" w:hAnsi="Verdana"/>
          <w:sz w:val="24"/>
          <w:szCs w:val="24"/>
        </w:rPr>
        <w:t xml:space="preserve"> 2024. </w:t>
      </w:r>
      <w:hyperlink r:id="rId28" w:history="1">
        <w:r w:rsidRPr="00462FAC">
          <w:rPr>
            <w:rStyle w:val="Hipervnculo"/>
            <w:rFonts w:ascii="Verdana" w:hAnsi="Verdana"/>
            <w:sz w:val="24"/>
            <w:szCs w:val="24"/>
          </w:rPr>
          <w:t>https://ember-energy.org/app/uploads/2024/05/Report-Global-Electricity-Review-2024.pdf</w:t>
        </w:r>
      </w:hyperlink>
    </w:p>
    <w:p w14:paraId="396542CC" w14:textId="5087C881" w:rsidR="00E01C3D" w:rsidRDefault="00FD6F0E" w:rsidP="00CF5BB5">
      <w:pPr>
        <w:ind w:left="709" w:hanging="709"/>
        <w:jc w:val="both"/>
        <w:rPr>
          <w:rFonts w:ascii="Verdana" w:hAnsi="Verdana"/>
          <w:sz w:val="24"/>
          <w:szCs w:val="24"/>
        </w:rPr>
      </w:pPr>
      <w:proofErr w:type="spellStart"/>
      <w:r w:rsidRPr="00FD6F0E">
        <w:rPr>
          <w:rFonts w:ascii="Verdana" w:hAnsi="Verdana"/>
          <w:sz w:val="24"/>
          <w:szCs w:val="24"/>
        </w:rPr>
        <w:lastRenderedPageBreak/>
        <w:t>Heffron</w:t>
      </w:r>
      <w:proofErr w:type="spellEnd"/>
      <w:r w:rsidRPr="00FD6F0E">
        <w:rPr>
          <w:rFonts w:ascii="Verdana" w:hAnsi="Verdana"/>
          <w:sz w:val="24"/>
          <w:szCs w:val="24"/>
        </w:rPr>
        <w:t xml:space="preserve">, R., </w:t>
      </w:r>
      <w:proofErr w:type="spellStart"/>
      <w:r w:rsidRPr="00FD6F0E">
        <w:rPr>
          <w:rFonts w:ascii="Verdana" w:hAnsi="Verdana"/>
          <w:sz w:val="24"/>
          <w:szCs w:val="24"/>
        </w:rPr>
        <w:t>McCauley</w:t>
      </w:r>
      <w:proofErr w:type="spellEnd"/>
      <w:r w:rsidRPr="00FD6F0E">
        <w:rPr>
          <w:rFonts w:ascii="Verdana" w:hAnsi="Verdana"/>
          <w:sz w:val="24"/>
          <w:szCs w:val="24"/>
        </w:rPr>
        <w:t xml:space="preserve">, D., &amp; </w:t>
      </w:r>
      <w:proofErr w:type="spellStart"/>
      <w:r w:rsidRPr="00FD6F0E">
        <w:rPr>
          <w:rFonts w:ascii="Verdana" w:hAnsi="Verdana"/>
          <w:sz w:val="24"/>
          <w:szCs w:val="24"/>
        </w:rPr>
        <w:t>Sovacool</w:t>
      </w:r>
      <w:proofErr w:type="spellEnd"/>
      <w:r w:rsidRPr="00FD6F0E">
        <w:rPr>
          <w:rFonts w:ascii="Verdana" w:hAnsi="Verdana"/>
          <w:sz w:val="24"/>
          <w:szCs w:val="24"/>
        </w:rPr>
        <w:t>, B. K. (2020). </w:t>
      </w:r>
      <w:proofErr w:type="spellStart"/>
      <w:r w:rsidRPr="00FD6F0E">
        <w:rPr>
          <w:rFonts w:ascii="Verdana" w:hAnsi="Verdana"/>
          <w:i/>
          <w:iCs/>
          <w:sz w:val="24"/>
          <w:szCs w:val="24"/>
        </w:rPr>
        <w:t>Advancing</w:t>
      </w:r>
      <w:proofErr w:type="spellEnd"/>
      <w:r w:rsidRPr="00FD6F0E">
        <w:rPr>
          <w:rFonts w:ascii="Verdana" w:hAnsi="Verdana"/>
          <w:i/>
          <w:iCs/>
          <w:sz w:val="24"/>
          <w:szCs w:val="24"/>
        </w:rPr>
        <w:t xml:space="preserve"> </w:t>
      </w:r>
      <w:proofErr w:type="spellStart"/>
      <w:r w:rsidRPr="00FD6F0E">
        <w:rPr>
          <w:rFonts w:ascii="Verdana" w:hAnsi="Verdana"/>
          <w:i/>
          <w:iCs/>
          <w:sz w:val="24"/>
          <w:szCs w:val="24"/>
        </w:rPr>
        <w:t>Justice</w:t>
      </w:r>
      <w:proofErr w:type="spellEnd"/>
      <w:r w:rsidRPr="00FD6F0E">
        <w:rPr>
          <w:rFonts w:ascii="Verdana" w:hAnsi="Verdana"/>
          <w:i/>
          <w:iCs/>
          <w:sz w:val="24"/>
          <w:szCs w:val="24"/>
        </w:rPr>
        <w:t xml:space="preserve"> in </w:t>
      </w:r>
      <w:proofErr w:type="spellStart"/>
      <w:r w:rsidRPr="00FD6F0E">
        <w:rPr>
          <w:rFonts w:ascii="Verdana" w:hAnsi="Verdana"/>
          <w:i/>
          <w:iCs/>
          <w:sz w:val="24"/>
          <w:szCs w:val="24"/>
        </w:rPr>
        <w:t>the</w:t>
      </w:r>
      <w:proofErr w:type="spellEnd"/>
      <w:r w:rsidRPr="00FD6F0E">
        <w:rPr>
          <w:rFonts w:ascii="Verdana" w:hAnsi="Verdana"/>
          <w:i/>
          <w:iCs/>
          <w:sz w:val="24"/>
          <w:szCs w:val="24"/>
        </w:rPr>
        <w:t xml:space="preserve"> Energy </w:t>
      </w:r>
      <w:proofErr w:type="spellStart"/>
      <w:r w:rsidRPr="00FD6F0E">
        <w:rPr>
          <w:rFonts w:ascii="Verdana" w:hAnsi="Verdana"/>
          <w:i/>
          <w:iCs/>
          <w:sz w:val="24"/>
          <w:szCs w:val="24"/>
        </w:rPr>
        <w:t>Transition</w:t>
      </w:r>
      <w:proofErr w:type="spellEnd"/>
      <w:r w:rsidRPr="00FD6F0E">
        <w:rPr>
          <w:rFonts w:ascii="Verdana" w:hAnsi="Verdana"/>
          <w:i/>
          <w:iCs/>
          <w:sz w:val="24"/>
          <w:szCs w:val="24"/>
        </w:rPr>
        <w:t xml:space="preserve">: </w:t>
      </w:r>
      <w:proofErr w:type="spellStart"/>
      <w:r w:rsidRPr="00FD6F0E">
        <w:rPr>
          <w:rFonts w:ascii="Verdana" w:hAnsi="Verdana"/>
          <w:i/>
          <w:iCs/>
          <w:sz w:val="24"/>
          <w:szCs w:val="24"/>
        </w:rPr>
        <w:t>Policy</w:t>
      </w:r>
      <w:proofErr w:type="spellEnd"/>
      <w:r w:rsidRPr="00FD6F0E">
        <w:rPr>
          <w:rFonts w:ascii="Verdana" w:hAnsi="Verdana"/>
          <w:i/>
          <w:iCs/>
          <w:sz w:val="24"/>
          <w:szCs w:val="24"/>
        </w:rPr>
        <w:t xml:space="preserve">, </w:t>
      </w:r>
      <w:proofErr w:type="spellStart"/>
      <w:r w:rsidRPr="00FD6F0E">
        <w:rPr>
          <w:rFonts w:ascii="Verdana" w:hAnsi="Verdana"/>
          <w:i/>
          <w:iCs/>
          <w:sz w:val="24"/>
          <w:szCs w:val="24"/>
        </w:rPr>
        <w:t>Practice</w:t>
      </w:r>
      <w:proofErr w:type="spellEnd"/>
      <w:r w:rsidRPr="00FD6F0E">
        <w:rPr>
          <w:rFonts w:ascii="Verdana" w:hAnsi="Verdana"/>
          <w:i/>
          <w:iCs/>
          <w:sz w:val="24"/>
          <w:szCs w:val="24"/>
        </w:rPr>
        <w:t xml:space="preserve"> and </w:t>
      </w:r>
      <w:proofErr w:type="spellStart"/>
      <w:r w:rsidRPr="00FD6F0E">
        <w:rPr>
          <w:rFonts w:ascii="Verdana" w:hAnsi="Verdana"/>
          <w:i/>
          <w:iCs/>
          <w:sz w:val="24"/>
          <w:szCs w:val="24"/>
        </w:rPr>
        <w:t>Theory</w:t>
      </w:r>
      <w:proofErr w:type="spellEnd"/>
      <w:r w:rsidRPr="00FD6F0E">
        <w:rPr>
          <w:rFonts w:ascii="Verdana" w:hAnsi="Verdana"/>
          <w:sz w:val="24"/>
          <w:szCs w:val="24"/>
        </w:rPr>
        <w:t xml:space="preserve">. </w:t>
      </w:r>
      <w:proofErr w:type="spellStart"/>
      <w:r w:rsidRPr="00FD6F0E">
        <w:rPr>
          <w:rFonts w:ascii="Verdana" w:hAnsi="Verdana"/>
          <w:sz w:val="24"/>
          <w:szCs w:val="24"/>
        </w:rPr>
        <w:t>Applied</w:t>
      </w:r>
      <w:proofErr w:type="spellEnd"/>
      <w:r w:rsidRPr="00FD6F0E">
        <w:rPr>
          <w:rFonts w:ascii="Verdana" w:hAnsi="Verdana"/>
          <w:sz w:val="24"/>
          <w:szCs w:val="24"/>
        </w:rPr>
        <w:t xml:space="preserve"> Energy, 233, 916-924. </w:t>
      </w:r>
      <w:hyperlink r:id="rId29" w:tgtFrame="_blank" w:history="1">
        <w:r w:rsidRPr="00FD6F0E">
          <w:rPr>
            <w:rStyle w:val="Hipervnculo"/>
            <w:rFonts w:ascii="Verdana" w:hAnsi="Verdana"/>
            <w:sz w:val="24"/>
            <w:szCs w:val="24"/>
          </w:rPr>
          <w:t>https://doi.org/10.1016/j.apenergy.2018.09.054</w:t>
        </w:r>
      </w:hyperlink>
    </w:p>
    <w:p w14:paraId="337F6073" w14:textId="6B17D591" w:rsidR="00D7008D" w:rsidRDefault="00D7008D" w:rsidP="00CF5BB5">
      <w:pPr>
        <w:ind w:left="709" w:hanging="709"/>
        <w:jc w:val="both"/>
        <w:rPr>
          <w:rFonts w:ascii="Verdana" w:hAnsi="Verdana"/>
          <w:sz w:val="24"/>
          <w:szCs w:val="24"/>
        </w:rPr>
      </w:pPr>
      <w:r w:rsidRPr="00D7008D">
        <w:rPr>
          <w:rFonts w:ascii="Verdana" w:hAnsi="Verdana"/>
          <w:sz w:val="24"/>
          <w:szCs w:val="24"/>
        </w:rPr>
        <w:t>Foro Económico Mundial. (2024). </w:t>
      </w:r>
      <w:r w:rsidRPr="00D7008D">
        <w:rPr>
          <w:rFonts w:ascii="Verdana" w:hAnsi="Verdana"/>
          <w:i/>
          <w:iCs/>
          <w:sz w:val="24"/>
          <w:szCs w:val="24"/>
        </w:rPr>
        <w:t>Estos países encabezan el Índice de Transición Energética para 2024</w:t>
      </w:r>
      <w:r w:rsidRPr="00D7008D">
        <w:rPr>
          <w:rFonts w:ascii="Verdana" w:hAnsi="Verdana"/>
          <w:sz w:val="24"/>
          <w:szCs w:val="24"/>
        </w:rPr>
        <w:t>. </w:t>
      </w:r>
      <w:hyperlink r:id="rId30" w:tgtFrame="_blank" w:history="1">
        <w:r w:rsidRPr="00D7008D">
          <w:rPr>
            <w:rStyle w:val="Hipervnculo"/>
            <w:rFonts w:ascii="Verdana" w:hAnsi="Verdana"/>
            <w:sz w:val="24"/>
            <w:szCs w:val="24"/>
          </w:rPr>
          <w:t>https://es.weforum.org/stories/2024/06/estos-4-paises-lideran-la-transicion-energetica/</w:t>
        </w:r>
      </w:hyperlink>
    </w:p>
    <w:p w14:paraId="7715791F" w14:textId="55A84582" w:rsidR="00C5715A" w:rsidRDefault="00C5715A" w:rsidP="00CF5BB5">
      <w:pPr>
        <w:ind w:left="709" w:hanging="709"/>
        <w:jc w:val="both"/>
        <w:rPr>
          <w:rFonts w:ascii="Verdana" w:hAnsi="Verdana"/>
          <w:sz w:val="24"/>
          <w:szCs w:val="24"/>
        </w:rPr>
      </w:pPr>
      <w:r w:rsidRPr="003D477D">
        <w:rPr>
          <w:rFonts w:ascii="Verdana" w:hAnsi="Verdana"/>
          <w:sz w:val="24"/>
          <w:szCs w:val="24"/>
        </w:rPr>
        <w:t xml:space="preserve">Informe Mundial sobre la protección social 2024-2026: Protección social universal para la acción climática y una transición justa. (2024). International </w:t>
      </w:r>
      <w:proofErr w:type="spellStart"/>
      <w:r w:rsidRPr="003D477D">
        <w:rPr>
          <w:rFonts w:ascii="Verdana" w:hAnsi="Verdana"/>
          <w:sz w:val="24"/>
          <w:szCs w:val="24"/>
        </w:rPr>
        <w:t>Labour</w:t>
      </w:r>
      <w:proofErr w:type="spellEnd"/>
      <w:r w:rsidRPr="003D477D">
        <w:rPr>
          <w:rFonts w:ascii="Verdana" w:hAnsi="Verdana"/>
          <w:sz w:val="24"/>
          <w:szCs w:val="24"/>
        </w:rPr>
        <w:t xml:space="preserve"> </w:t>
      </w:r>
      <w:proofErr w:type="spellStart"/>
      <w:r w:rsidRPr="003D477D">
        <w:rPr>
          <w:rFonts w:ascii="Verdana" w:hAnsi="Verdana"/>
          <w:sz w:val="24"/>
          <w:szCs w:val="24"/>
        </w:rPr>
        <w:t>Organization</w:t>
      </w:r>
      <w:proofErr w:type="spellEnd"/>
      <w:r w:rsidRPr="003D477D">
        <w:rPr>
          <w:rFonts w:ascii="Verdana" w:hAnsi="Verdana"/>
          <w:sz w:val="24"/>
          <w:szCs w:val="24"/>
        </w:rPr>
        <w:t xml:space="preserve">. </w:t>
      </w:r>
      <w:hyperlink r:id="rId31" w:history="1">
        <w:r w:rsidRPr="00462FAC">
          <w:rPr>
            <w:rStyle w:val="Hipervnculo"/>
            <w:rFonts w:ascii="Verdana" w:hAnsi="Verdana"/>
            <w:sz w:val="24"/>
            <w:szCs w:val="24"/>
          </w:rPr>
          <w:t>https://www.ilo.org/es/publications/flagship-reports/informe-mundial-sobre-la-proteccion-social-2024-2026-proteccion-social</w:t>
        </w:r>
      </w:hyperlink>
    </w:p>
    <w:p w14:paraId="77E0687D" w14:textId="7F73C5D8" w:rsidR="00C5715A" w:rsidRDefault="00A6541A" w:rsidP="00CF5BB5">
      <w:pPr>
        <w:ind w:left="709" w:hanging="709"/>
        <w:jc w:val="both"/>
        <w:rPr>
          <w:rFonts w:ascii="Verdana" w:hAnsi="Verdana"/>
          <w:sz w:val="24"/>
          <w:szCs w:val="24"/>
        </w:rPr>
      </w:pPr>
      <w:r w:rsidRPr="00A6541A">
        <w:rPr>
          <w:rFonts w:ascii="Verdana" w:hAnsi="Verdana"/>
          <w:sz w:val="24"/>
          <w:szCs w:val="24"/>
        </w:rPr>
        <w:t xml:space="preserve">John L. Thornton China Center (Brookings </w:t>
      </w:r>
      <w:proofErr w:type="spellStart"/>
      <w:r w:rsidRPr="00A6541A">
        <w:rPr>
          <w:rFonts w:ascii="Verdana" w:hAnsi="Verdana"/>
          <w:sz w:val="24"/>
          <w:szCs w:val="24"/>
        </w:rPr>
        <w:t>Institution</w:t>
      </w:r>
      <w:proofErr w:type="spellEnd"/>
      <w:r w:rsidRPr="00A6541A">
        <w:rPr>
          <w:rFonts w:ascii="Verdana" w:hAnsi="Verdana"/>
          <w:sz w:val="24"/>
          <w:szCs w:val="24"/>
        </w:rPr>
        <w:t>). (2025). </w:t>
      </w:r>
      <w:proofErr w:type="spellStart"/>
      <w:r w:rsidRPr="00A6541A">
        <w:rPr>
          <w:rFonts w:ascii="Verdana" w:hAnsi="Verdana"/>
          <w:i/>
          <w:iCs/>
          <w:sz w:val="24"/>
          <w:szCs w:val="24"/>
        </w:rPr>
        <w:t>China's</w:t>
      </w:r>
      <w:proofErr w:type="spellEnd"/>
      <w:r w:rsidRPr="00A6541A">
        <w:rPr>
          <w:rFonts w:ascii="Verdana" w:hAnsi="Verdana"/>
          <w:i/>
          <w:iCs/>
          <w:sz w:val="24"/>
          <w:szCs w:val="24"/>
        </w:rPr>
        <w:t xml:space="preserve"> </w:t>
      </w:r>
      <w:proofErr w:type="spellStart"/>
      <w:r w:rsidRPr="00A6541A">
        <w:rPr>
          <w:rFonts w:ascii="Verdana" w:hAnsi="Verdana"/>
          <w:i/>
          <w:iCs/>
          <w:sz w:val="24"/>
          <w:szCs w:val="24"/>
        </w:rPr>
        <w:t>energy</w:t>
      </w:r>
      <w:proofErr w:type="spellEnd"/>
      <w:r w:rsidRPr="00A6541A">
        <w:rPr>
          <w:rFonts w:ascii="Verdana" w:hAnsi="Verdana"/>
          <w:i/>
          <w:iCs/>
          <w:sz w:val="24"/>
          <w:szCs w:val="24"/>
        </w:rPr>
        <w:t xml:space="preserve"> in transition</w:t>
      </w:r>
      <w:r w:rsidRPr="00A6541A">
        <w:rPr>
          <w:rFonts w:ascii="Verdana" w:hAnsi="Verdana"/>
          <w:sz w:val="24"/>
          <w:szCs w:val="24"/>
        </w:rPr>
        <w:t>. </w:t>
      </w:r>
      <w:hyperlink r:id="rId32" w:tgtFrame="_blank" w:history="1">
        <w:r w:rsidRPr="00A6541A">
          <w:rPr>
            <w:rStyle w:val="Hipervnculo"/>
            <w:rFonts w:ascii="Verdana" w:hAnsi="Verdana"/>
            <w:sz w:val="24"/>
            <w:szCs w:val="24"/>
          </w:rPr>
          <w:t>https://www.brookings.edu/tags/chinas-energy-in-transition/</w:t>
        </w:r>
      </w:hyperlink>
    </w:p>
    <w:p w14:paraId="6C0FE7BC" w14:textId="228844BC" w:rsidR="007A3AD4" w:rsidRDefault="00E01C3D" w:rsidP="00CF5BB5">
      <w:pPr>
        <w:ind w:left="709" w:hanging="709"/>
        <w:jc w:val="both"/>
        <w:rPr>
          <w:rFonts w:ascii="Verdana" w:hAnsi="Verdana"/>
          <w:sz w:val="24"/>
          <w:szCs w:val="24"/>
        </w:rPr>
      </w:pPr>
      <w:r w:rsidRPr="00E01C3D">
        <w:rPr>
          <w:rFonts w:ascii="Verdana" w:hAnsi="Verdana"/>
          <w:sz w:val="24"/>
          <w:szCs w:val="24"/>
        </w:rPr>
        <w:t xml:space="preserve">Ministerio de Minas y Energía de Colombia. (2024). </w:t>
      </w:r>
      <w:r w:rsidRPr="00347174">
        <w:rPr>
          <w:rFonts w:ascii="Verdana" w:hAnsi="Verdana"/>
          <w:i/>
          <w:iCs/>
          <w:sz w:val="24"/>
          <w:szCs w:val="24"/>
        </w:rPr>
        <w:t>Diagnóstico base para la Transición Energética Justa</w:t>
      </w:r>
      <w:r w:rsidR="00644EDB">
        <w:rPr>
          <w:rFonts w:ascii="Verdana" w:hAnsi="Verdana"/>
          <w:sz w:val="24"/>
          <w:szCs w:val="24"/>
        </w:rPr>
        <w:t xml:space="preserve">. </w:t>
      </w:r>
      <w:hyperlink r:id="rId33" w:history="1">
        <w:r w:rsidR="00644EDB" w:rsidRPr="00462FAC">
          <w:rPr>
            <w:rStyle w:val="Hipervnculo"/>
            <w:rFonts w:ascii="Verdana" w:hAnsi="Verdana"/>
            <w:sz w:val="24"/>
            <w:szCs w:val="24"/>
          </w:rPr>
          <w:t>https://www.minenergia.gov.co/documents/12591/DIAGN%C3%93STICO_BASE_PARA_LA_TRANSICI%C3%93N_ENERG%C3%89TICA_JUSTA_-_2024.pdf</w:t>
        </w:r>
      </w:hyperlink>
      <w:r w:rsidR="00644EDB">
        <w:rPr>
          <w:rFonts w:ascii="Verdana" w:hAnsi="Verdana"/>
          <w:sz w:val="24"/>
          <w:szCs w:val="24"/>
        </w:rPr>
        <w:t xml:space="preserve"> </w:t>
      </w:r>
    </w:p>
    <w:p w14:paraId="1526958E" w14:textId="77777777" w:rsidR="00C5715A" w:rsidRPr="00800C23" w:rsidRDefault="00C5715A" w:rsidP="00CF5BB5">
      <w:pPr>
        <w:ind w:left="709" w:hanging="709"/>
        <w:jc w:val="both"/>
        <w:rPr>
          <w:rFonts w:ascii="Verdana" w:hAnsi="Verdana"/>
          <w:sz w:val="24"/>
          <w:szCs w:val="24"/>
        </w:rPr>
      </w:pPr>
      <w:proofErr w:type="spellStart"/>
      <w:r w:rsidRPr="00F651A7">
        <w:rPr>
          <w:rFonts w:ascii="Verdana" w:hAnsi="Verdana"/>
          <w:sz w:val="24"/>
          <w:szCs w:val="24"/>
        </w:rPr>
        <w:t>Mkhosi</w:t>
      </w:r>
      <w:proofErr w:type="spellEnd"/>
      <w:r w:rsidRPr="00F651A7">
        <w:rPr>
          <w:rFonts w:ascii="Verdana" w:hAnsi="Verdana"/>
          <w:sz w:val="24"/>
          <w:szCs w:val="24"/>
        </w:rPr>
        <w:t>, S., et al. (2022). Plan de Inversión para la Transición Energética Justa en Sudáfrica (JET-IP): un enfoque centrado en la inclusión comunitaria. </w:t>
      </w:r>
      <w:r w:rsidRPr="00F651A7">
        <w:rPr>
          <w:rFonts w:ascii="Verdana" w:hAnsi="Verdana"/>
          <w:i/>
          <w:iCs/>
          <w:sz w:val="24"/>
          <w:szCs w:val="24"/>
        </w:rPr>
        <w:t xml:space="preserve">El </w:t>
      </w:r>
      <w:proofErr w:type="spellStart"/>
      <w:r w:rsidRPr="00F651A7">
        <w:rPr>
          <w:rFonts w:ascii="Verdana" w:hAnsi="Verdana"/>
          <w:i/>
          <w:iCs/>
          <w:sz w:val="24"/>
          <w:szCs w:val="24"/>
        </w:rPr>
        <w:t>Dipló</w:t>
      </w:r>
      <w:proofErr w:type="spellEnd"/>
      <w:r w:rsidRPr="00F651A7">
        <w:rPr>
          <w:rFonts w:ascii="Verdana" w:hAnsi="Verdana"/>
          <w:sz w:val="24"/>
          <w:szCs w:val="24"/>
        </w:rPr>
        <w:t> y reportes oficiales de la Presidencia Sudafricana. Recuperado de </w:t>
      </w:r>
      <w:hyperlink r:id="rId34" w:tgtFrame="_blank" w:history="1">
        <w:r w:rsidRPr="00F651A7">
          <w:rPr>
            <w:rStyle w:val="Hipervnculo"/>
            <w:rFonts w:ascii="Verdana" w:hAnsi="Verdana"/>
            <w:sz w:val="24"/>
            <w:szCs w:val="24"/>
          </w:rPr>
          <w:t>https://www.eldiplo.org/seccion-desalineados/transicion-de-sudafrica-hacia-la-energia-justa/</w:t>
        </w:r>
      </w:hyperlink>
    </w:p>
    <w:p w14:paraId="1B232FE2" w14:textId="0D67C165" w:rsidR="00F62A5E" w:rsidRDefault="00F62A5E" w:rsidP="00CF5BB5">
      <w:pPr>
        <w:ind w:left="709" w:hanging="709"/>
        <w:jc w:val="both"/>
        <w:rPr>
          <w:rFonts w:ascii="Verdana" w:hAnsi="Verdana"/>
          <w:sz w:val="24"/>
          <w:szCs w:val="24"/>
        </w:rPr>
      </w:pPr>
      <w:r w:rsidRPr="00F62A5E">
        <w:rPr>
          <w:rFonts w:ascii="Verdana" w:hAnsi="Verdana"/>
          <w:sz w:val="24"/>
          <w:szCs w:val="24"/>
        </w:rPr>
        <w:t>Organización de las Naciones Unidas para el Desarrollo (PNUD). (202</w:t>
      </w:r>
      <w:r>
        <w:rPr>
          <w:rFonts w:ascii="Verdana" w:hAnsi="Verdana"/>
          <w:sz w:val="24"/>
          <w:szCs w:val="24"/>
        </w:rPr>
        <w:t>2</w:t>
      </w:r>
      <w:r w:rsidRPr="00F62A5E">
        <w:rPr>
          <w:rFonts w:ascii="Verdana" w:hAnsi="Verdana"/>
          <w:sz w:val="24"/>
          <w:szCs w:val="24"/>
        </w:rPr>
        <w:t>). </w:t>
      </w:r>
      <w:r w:rsidRPr="00F62A5E">
        <w:rPr>
          <w:rFonts w:ascii="Verdana" w:hAnsi="Verdana"/>
          <w:i/>
          <w:iCs/>
          <w:sz w:val="24"/>
          <w:szCs w:val="24"/>
        </w:rPr>
        <w:t>Guía para la construcción de un modelo de Gobernanza Inclusiva</w:t>
      </w:r>
      <w:r w:rsidRPr="00F62A5E">
        <w:rPr>
          <w:rFonts w:ascii="Verdana" w:hAnsi="Verdana"/>
          <w:sz w:val="24"/>
          <w:szCs w:val="24"/>
        </w:rPr>
        <w:t>. </w:t>
      </w:r>
      <w:hyperlink r:id="rId35" w:tgtFrame="_blank" w:history="1">
        <w:r w:rsidRPr="00F62A5E">
          <w:rPr>
            <w:rStyle w:val="Hipervnculo"/>
            <w:rFonts w:ascii="Verdana" w:hAnsi="Verdana"/>
            <w:sz w:val="24"/>
            <w:szCs w:val="24"/>
          </w:rPr>
          <w:t>https://www.undp.org/sites/g/files/zskgke326/files/2023-01/Gu%C3%ADa%20para%20la%20construcci%C3%B3n%20de%20un%20modelo%20de%20Gobernanza%20Inclusiva_Integra.pdf</w:t>
        </w:r>
      </w:hyperlink>
    </w:p>
    <w:p w14:paraId="35D8FF6E" w14:textId="0001C183" w:rsidR="00F62A5E" w:rsidRDefault="00C520FD" w:rsidP="00CF5BB5">
      <w:pPr>
        <w:ind w:left="709" w:hanging="709"/>
        <w:jc w:val="both"/>
        <w:rPr>
          <w:rFonts w:ascii="Verdana" w:hAnsi="Verdana"/>
          <w:sz w:val="24"/>
          <w:szCs w:val="24"/>
        </w:rPr>
      </w:pPr>
      <w:r w:rsidRPr="00C520FD">
        <w:rPr>
          <w:rFonts w:ascii="Verdana" w:hAnsi="Verdana"/>
          <w:sz w:val="24"/>
          <w:szCs w:val="24"/>
        </w:rPr>
        <w:t>Palazuelos, C., &amp; García, M. (2019). Análisis de la transición energética en China: perspectivas y retos. </w:t>
      </w:r>
      <w:r w:rsidRPr="00C520FD">
        <w:rPr>
          <w:rFonts w:ascii="Verdana" w:hAnsi="Verdana"/>
          <w:i/>
          <w:iCs/>
          <w:sz w:val="24"/>
          <w:szCs w:val="24"/>
        </w:rPr>
        <w:t>Global China Energy</w:t>
      </w:r>
      <w:r w:rsidRPr="00C520FD">
        <w:rPr>
          <w:rFonts w:ascii="Verdana" w:hAnsi="Verdana"/>
          <w:sz w:val="24"/>
          <w:szCs w:val="24"/>
        </w:rPr>
        <w:t>, 5(3), 45-67.</w:t>
      </w:r>
    </w:p>
    <w:p w14:paraId="433FD076" w14:textId="78C925E2" w:rsidR="00C520FD" w:rsidRDefault="00C520FD" w:rsidP="00CF5BB5">
      <w:pPr>
        <w:ind w:left="709" w:hanging="709"/>
        <w:jc w:val="both"/>
        <w:rPr>
          <w:rFonts w:ascii="Verdana" w:hAnsi="Verdana"/>
          <w:sz w:val="24"/>
          <w:szCs w:val="24"/>
        </w:rPr>
      </w:pPr>
      <w:r w:rsidRPr="00C520FD">
        <w:rPr>
          <w:rFonts w:ascii="Verdana" w:hAnsi="Verdana"/>
          <w:sz w:val="24"/>
          <w:szCs w:val="24"/>
        </w:rPr>
        <w:t>SEI (</w:t>
      </w:r>
      <w:proofErr w:type="spellStart"/>
      <w:r w:rsidRPr="00C520FD">
        <w:rPr>
          <w:rFonts w:ascii="Verdana" w:hAnsi="Verdana"/>
          <w:sz w:val="24"/>
          <w:szCs w:val="24"/>
        </w:rPr>
        <w:t>Stockholm</w:t>
      </w:r>
      <w:proofErr w:type="spellEnd"/>
      <w:r w:rsidRPr="00C520FD">
        <w:rPr>
          <w:rFonts w:ascii="Verdana" w:hAnsi="Verdana"/>
          <w:sz w:val="24"/>
          <w:szCs w:val="24"/>
        </w:rPr>
        <w:t xml:space="preserve"> </w:t>
      </w:r>
      <w:proofErr w:type="spellStart"/>
      <w:r w:rsidRPr="00C520FD">
        <w:rPr>
          <w:rFonts w:ascii="Verdana" w:hAnsi="Verdana"/>
          <w:sz w:val="24"/>
          <w:szCs w:val="24"/>
        </w:rPr>
        <w:t>Environment</w:t>
      </w:r>
      <w:proofErr w:type="spellEnd"/>
      <w:r w:rsidRPr="00C520FD">
        <w:rPr>
          <w:rFonts w:ascii="Verdana" w:hAnsi="Verdana"/>
          <w:sz w:val="24"/>
          <w:szCs w:val="24"/>
        </w:rPr>
        <w:t xml:space="preserve"> </w:t>
      </w:r>
      <w:proofErr w:type="spellStart"/>
      <w:r w:rsidRPr="00C520FD">
        <w:rPr>
          <w:rFonts w:ascii="Verdana" w:hAnsi="Verdana"/>
          <w:sz w:val="24"/>
          <w:szCs w:val="24"/>
        </w:rPr>
        <w:t>Institute</w:t>
      </w:r>
      <w:proofErr w:type="spellEnd"/>
      <w:r w:rsidRPr="00C520FD">
        <w:rPr>
          <w:rFonts w:ascii="Verdana" w:hAnsi="Verdana"/>
          <w:sz w:val="24"/>
          <w:szCs w:val="24"/>
        </w:rPr>
        <w:t>). (2023). </w:t>
      </w:r>
      <w:r w:rsidRPr="00C520FD">
        <w:rPr>
          <w:rFonts w:ascii="Verdana" w:hAnsi="Verdana"/>
          <w:i/>
          <w:iCs/>
          <w:sz w:val="24"/>
          <w:szCs w:val="24"/>
        </w:rPr>
        <w:t>Transición energética en Latinoamérica: ¿Hacia dónde vamos?</w:t>
      </w:r>
      <w:r w:rsidRPr="00C520FD">
        <w:rPr>
          <w:rFonts w:ascii="Verdana" w:hAnsi="Verdana"/>
          <w:sz w:val="24"/>
          <w:szCs w:val="24"/>
        </w:rPr>
        <w:t> </w:t>
      </w:r>
      <w:hyperlink r:id="rId36" w:tgtFrame="_blank" w:history="1">
        <w:r w:rsidRPr="00C520FD">
          <w:rPr>
            <w:rStyle w:val="Hipervnculo"/>
            <w:rFonts w:ascii="Verdana" w:hAnsi="Verdana"/>
            <w:sz w:val="24"/>
            <w:szCs w:val="24"/>
          </w:rPr>
          <w:t>https://www.sei.org/wp-content/uploads/2023/01/transicion-energetica-sei2023.002.pdf</w:t>
        </w:r>
      </w:hyperlink>
    </w:p>
    <w:p w14:paraId="1CE3A3F5" w14:textId="007ECA4A" w:rsidR="003D477D" w:rsidRDefault="00C5715A" w:rsidP="00CF5BB5">
      <w:pPr>
        <w:ind w:left="709" w:hanging="709"/>
        <w:jc w:val="both"/>
        <w:rPr>
          <w:rFonts w:ascii="Verdana" w:hAnsi="Verdana"/>
          <w:sz w:val="24"/>
          <w:szCs w:val="24"/>
        </w:rPr>
      </w:pPr>
      <w:proofErr w:type="spellStart"/>
      <w:r w:rsidRPr="005E3880">
        <w:rPr>
          <w:rFonts w:ascii="Verdana" w:hAnsi="Verdana"/>
          <w:sz w:val="24"/>
          <w:szCs w:val="24"/>
        </w:rPr>
        <w:lastRenderedPageBreak/>
        <w:t>Sovacool</w:t>
      </w:r>
      <w:proofErr w:type="spellEnd"/>
      <w:r w:rsidRPr="005E3880">
        <w:rPr>
          <w:rFonts w:ascii="Verdana" w:hAnsi="Verdana"/>
          <w:sz w:val="24"/>
          <w:szCs w:val="24"/>
        </w:rPr>
        <w:t xml:space="preserve">, B. K., </w:t>
      </w:r>
      <w:proofErr w:type="spellStart"/>
      <w:r w:rsidRPr="005E3880">
        <w:rPr>
          <w:rFonts w:ascii="Verdana" w:hAnsi="Verdana"/>
          <w:sz w:val="24"/>
          <w:szCs w:val="24"/>
        </w:rPr>
        <w:t>Heffron</w:t>
      </w:r>
      <w:proofErr w:type="spellEnd"/>
      <w:r w:rsidRPr="005E3880">
        <w:rPr>
          <w:rFonts w:ascii="Verdana" w:hAnsi="Verdana"/>
          <w:sz w:val="24"/>
          <w:szCs w:val="24"/>
        </w:rPr>
        <w:t xml:space="preserve">, R., &amp; Jenkins, K. (2018). Energy </w:t>
      </w:r>
      <w:proofErr w:type="spellStart"/>
      <w:r w:rsidRPr="005E3880">
        <w:rPr>
          <w:rFonts w:ascii="Verdana" w:hAnsi="Verdana"/>
          <w:sz w:val="24"/>
          <w:szCs w:val="24"/>
        </w:rPr>
        <w:t>justice</w:t>
      </w:r>
      <w:proofErr w:type="spellEnd"/>
      <w:r w:rsidRPr="005E3880">
        <w:rPr>
          <w:rFonts w:ascii="Verdana" w:hAnsi="Verdana"/>
          <w:sz w:val="24"/>
          <w:szCs w:val="24"/>
        </w:rPr>
        <w:t xml:space="preserve">: A conceptual </w:t>
      </w:r>
      <w:proofErr w:type="spellStart"/>
      <w:r w:rsidRPr="005E3880">
        <w:rPr>
          <w:rFonts w:ascii="Verdana" w:hAnsi="Verdana"/>
          <w:sz w:val="24"/>
          <w:szCs w:val="24"/>
        </w:rPr>
        <w:t>review</w:t>
      </w:r>
      <w:proofErr w:type="spellEnd"/>
      <w:r w:rsidRPr="005E3880">
        <w:rPr>
          <w:rFonts w:ascii="Verdana" w:hAnsi="Verdana"/>
          <w:sz w:val="24"/>
          <w:szCs w:val="24"/>
        </w:rPr>
        <w:t>. </w:t>
      </w:r>
      <w:r w:rsidRPr="005E3880">
        <w:rPr>
          <w:rFonts w:ascii="Verdana" w:hAnsi="Verdana"/>
          <w:i/>
          <w:iCs/>
          <w:sz w:val="24"/>
          <w:szCs w:val="24"/>
        </w:rPr>
        <w:t xml:space="preserve">Energy </w:t>
      </w:r>
      <w:proofErr w:type="spellStart"/>
      <w:r w:rsidRPr="005E3880">
        <w:rPr>
          <w:rFonts w:ascii="Verdana" w:hAnsi="Verdana"/>
          <w:i/>
          <w:iCs/>
          <w:sz w:val="24"/>
          <w:szCs w:val="24"/>
        </w:rPr>
        <w:t>Research</w:t>
      </w:r>
      <w:proofErr w:type="spellEnd"/>
      <w:r w:rsidRPr="005E3880">
        <w:rPr>
          <w:rFonts w:ascii="Verdana" w:hAnsi="Verdana"/>
          <w:i/>
          <w:iCs/>
          <w:sz w:val="24"/>
          <w:szCs w:val="24"/>
        </w:rPr>
        <w:t xml:space="preserve"> &amp; Social </w:t>
      </w:r>
      <w:proofErr w:type="spellStart"/>
      <w:r w:rsidRPr="005E3880">
        <w:rPr>
          <w:rFonts w:ascii="Verdana" w:hAnsi="Verdana"/>
          <w:i/>
          <w:iCs/>
          <w:sz w:val="24"/>
          <w:szCs w:val="24"/>
        </w:rPr>
        <w:t>Science</w:t>
      </w:r>
      <w:proofErr w:type="spellEnd"/>
      <w:r w:rsidRPr="005E3880">
        <w:rPr>
          <w:rFonts w:ascii="Verdana" w:hAnsi="Verdana"/>
          <w:i/>
          <w:iCs/>
          <w:sz w:val="24"/>
          <w:szCs w:val="24"/>
        </w:rPr>
        <w:t>, 11</w:t>
      </w:r>
      <w:r w:rsidRPr="005E3880">
        <w:rPr>
          <w:rFonts w:ascii="Verdana" w:hAnsi="Verdana"/>
          <w:sz w:val="24"/>
          <w:szCs w:val="24"/>
        </w:rPr>
        <w:t>, 174-182. </w:t>
      </w:r>
      <w:hyperlink r:id="rId37" w:tgtFrame="_blank" w:history="1">
        <w:r w:rsidRPr="005E3880">
          <w:rPr>
            <w:rStyle w:val="Hipervnculo"/>
            <w:rFonts w:ascii="Verdana" w:hAnsi="Verdana"/>
            <w:sz w:val="24"/>
            <w:szCs w:val="24"/>
          </w:rPr>
          <w:t>https://doi.org/10.1016/j.erss.2015.10.004</w:t>
        </w:r>
      </w:hyperlink>
    </w:p>
    <w:p w14:paraId="364E7593" w14:textId="4646BADA" w:rsidR="00786486" w:rsidRDefault="00786486" w:rsidP="00CF5BB5">
      <w:pPr>
        <w:ind w:left="709" w:hanging="709"/>
        <w:jc w:val="both"/>
        <w:rPr>
          <w:rFonts w:ascii="Verdana" w:hAnsi="Verdana"/>
          <w:sz w:val="24"/>
          <w:szCs w:val="24"/>
        </w:rPr>
      </w:pPr>
      <w:proofErr w:type="spellStart"/>
      <w:r w:rsidRPr="00786486">
        <w:rPr>
          <w:rFonts w:ascii="Verdana" w:hAnsi="Verdana"/>
          <w:sz w:val="24"/>
          <w:szCs w:val="24"/>
        </w:rPr>
        <w:t>Urrútia</w:t>
      </w:r>
      <w:proofErr w:type="spellEnd"/>
      <w:r w:rsidRPr="00786486">
        <w:rPr>
          <w:rFonts w:ascii="Verdana" w:hAnsi="Verdana"/>
          <w:sz w:val="24"/>
          <w:szCs w:val="24"/>
        </w:rPr>
        <w:t xml:space="preserve"> G., </w:t>
      </w:r>
      <w:proofErr w:type="spellStart"/>
      <w:r w:rsidRPr="00786486">
        <w:rPr>
          <w:rFonts w:ascii="Verdana" w:hAnsi="Verdana"/>
          <w:sz w:val="24"/>
          <w:szCs w:val="24"/>
        </w:rPr>
        <w:t>Bonfill</w:t>
      </w:r>
      <w:proofErr w:type="spellEnd"/>
      <w:r w:rsidRPr="00786486">
        <w:rPr>
          <w:rFonts w:ascii="Verdana" w:hAnsi="Verdana"/>
          <w:sz w:val="24"/>
          <w:szCs w:val="24"/>
        </w:rPr>
        <w:t xml:space="preserve"> X. 2010. Declaración de PRISMA: una propuesta para mejorar la publicación de revisiones sistemáticas y metaanálisis. Medicina Clínica, 135(11): 507-511. </w:t>
      </w:r>
      <w:hyperlink r:id="rId38" w:history="1">
        <w:r w:rsidRPr="00786486">
          <w:rPr>
            <w:rFonts w:ascii="Verdana" w:hAnsi="Verdana"/>
            <w:sz w:val="24"/>
            <w:szCs w:val="24"/>
          </w:rPr>
          <w:t>https://doi.org/10.1016/j.medcli.2010.01.015</w:t>
        </w:r>
      </w:hyperlink>
    </w:p>
    <w:sectPr w:rsidR="00786486">
      <w:headerReference w:type="default" r:id="rId3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9911" w14:textId="77777777" w:rsidR="005F2DBA" w:rsidRDefault="005F2DBA" w:rsidP="007A61C1">
      <w:pPr>
        <w:spacing w:after="0" w:line="240" w:lineRule="auto"/>
      </w:pPr>
      <w:r>
        <w:separator/>
      </w:r>
    </w:p>
  </w:endnote>
  <w:endnote w:type="continuationSeparator" w:id="0">
    <w:p w14:paraId="24EB9E35" w14:textId="77777777" w:rsidR="005F2DBA" w:rsidRDefault="005F2DBA" w:rsidP="007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7C37" w14:textId="77777777" w:rsidR="005F2DBA" w:rsidRDefault="005F2DBA" w:rsidP="007A61C1">
      <w:pPr>
        <w:spacing w:after="0" w:line="240" w:lineRule="auto"/>
      </w:pPr>
      <w:r>
        <w:separator/>
      </w:r>
    </w:p>
  </w:footnote>
  <w:footnote w:type="continuationSeparator" w:id="0">
    <w:p w14:paraId="33F769E4" w14:textId="77777777" w:rsidR="005F2DBA" w:rsidRDefault="005F2DBA" w:rsidP="007A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5F62" w14:textId="77777777" w:rsidR="00456CCA" w:rsidRPr="00AE5D6C" w:rsidRDefault="00456CCA" w:rsidP="00456CCA">
    <w:pPr>
      <w:pStyle w:val="Encabezado"/>
      <w:jc w:val="right"/>
      <w:rPr>
        <w:b/>
        <w:i/>
        <w:color w:val="00B0F0"/>
        <w:lang w:val="es-ES"/>
      </w:rPr>
    </w:pPr>
    <w:r w:rsidRPr="00AE5D6C">
      <w:rPr>
        <w:b/>
        <w:i/>
        <w:color w:val="00B0F0"/>
        <w:lang w:val="es-ES"/>
      </w:rPr>
      <w:t>Imagen (logo de la escuela)</w:t>
    </w:r>
  </w:p>
  <w:p w14:paraId="0F1F8177" w14:textId="662024EC" w:rsidR="007A61C1" w:rsidRPr="00FB042F" w:rsidRDefault="007A61C1" w:rsidP="00FB042F">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4930"/>
    <w:multiLevelType w:val="multilevel"/>
    <w:tmpl w:val="DC28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9C788D"/>
    <w:multiLevelType w:val="multilevel"/>
    <w:tmpl w:val="07A6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9928681">
    <w:abstractNumId w:val="0"/>
  </w:num>
  <w:num w:numId="2" w16cid:durableId="1146898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24693"/>
    <w:rsid w:val="0003122B"/>
    <w:rsid w:val="0003262B"/>
    <w:rsid w:val="00032ADA"/>
    <w:rsid w:val="00036666"/>
    <w:rsid w:val="00043012"/>
    <w:rsid w:val="0004541A"/>
    <w:rsid w:val="0005224D"/>
    <w:rsid w:val="00060216"/>
    <w:rsid w:val="00064D0E"/>
    <w:rsid w:val="00066EDC"/>
    <w:rsid w:val="000674D3"/>
    <w:rsid w:val="00075443"/>
    <w:rsid w:val="00080CB1"/>
    <w:rsid w:val="000858C8"/>
    <w:rsid w:val="00086379"/>
    <w:rsid w:val="00091C4F"/>
    <w:rsid w:val="000940D9"/>
    <w:rsid w:val="000A00EF"/>
    <w:rsid w:val="000C2E94"/>
    <w:rsid w:val="000C3EBE"/>
    <w:rsid w:val="000D7719"/>
    <w:rsid w:val="000E04CF"/>
    <w:rsid w:val="000E34A4"/>
    <w:rsid w:val="000E3A91"/>
    <w:rsid w:val="000F656C"/>
    <w:rsid w:val="001045AF"/>
    <w:rsid w:val="0011059B"/>
    <w:rsid w:val="00113C84"/>
    <w:rsid w:val="0011458F"/>
    <w:rsid w:val="00124F7A"/>
    <w:rsid w:val="00125E00"/>
    <w:rsid w:val="00131FE0"/>
    <w:rsid w:val="001470A0"/>
    <w:rsid w:val="0015320A"/>
    <w:rsid w:val="001535EA"/>
    <w:rsid w:val="001548EA"/>
    <w:rsid w:val="00160054"/>
    <w:rsid w:val="0017717E"/>
    <w:rsid w:val="00177865"/>
    <w:rsid w:val="00180636"/>
    <w:rsid w:val="00181A1C"/>
    <w:rsid w:val="001900F9"/>
    <w:rsid w:val="001A1BDB"/>
    <w:rsid w:val="001A23CD"/>
    <w:rsid w:val="001A5BF3"/>
    <w:rsid w:val="001C39EC"/>
    <w:rsid w:val="001F73B3"/>
    <w:rsid w:val="002052EB"/>
    <w:rsid w:val="002131AA"/>
    <w:rsid w:val="00220108"/>
    <w:rsid w:val="00233DD7"/>
    <w:rsid w:val="00235D8B"/>
    <w:rsid w:val="0024459E"/>
    <w:rsid w:val="0024558B"/>
    <w:rsid w:val="00252531"/>
    <w:rsid w:val="0026110C"/>
    <w:rsid w:val="002617CE"/>
    <w:rsid w:val="00273DFA"/>
    <w:rsid w:val="00281B68"/>
    <w:rsid w:val="0028620E"/>
    <w:rsid w:val="00287BA3"/>
    <w:rsid w:val="002907EE"/>
    <w:rsid w:val="00292A49"/>
    <w:rsid w:val="002933AD"/>
    <w:rsid w:val="00294038"/>
    <w:rsid w:val="002A09C3"/>
    <w:rsid w:val="002B3B79"/>
    <w:rsid w:val="002B400C"/>
    <w:rsid w:val="002C0BBC"/>
    <w:rsid w:val="002C1A1B"/>
    <w:rsid w:val="002C6FCA"/>
    <w:rsid w:val="002D1608"/>
    <w:rsid w:val="002D5D44"/>
    <w:rsid w:val="002E5BAF"/>
    <w:rsid w:val="002E63C5"/>
    <w:rsid w:val="002F225B"/>
    <w:rsid w:val="002F47E2"/>
    <w:rsid w:val="002F50D4"/>
    <w:rsid w:val="0030019C"/>
    <w:rsid w:val="00303267"/>
    <w:rsid w:val="0032394B"/>
    <w:rsid w:val="00347174"/>
    <w:rsid w:val="003515F4"/>
    <w:rsid w:val="0035574D"/>
    <w:rsid w:val="00362F31"/>
    <w:rsid w:val="00370C11"/>
    <w:rsid w:val="00371BE2"/>
    <w:rsid w:val="00387795"/>
    <w:rsid w:val="003948B1"/>
    <w:rsid w:val="003B3029"/>
    <w:rsid w:val="003B33C8"/>
    <w:rsid w:val="003B3CBF"/>
    <w:rsid w:val="003B6C93"/>
    <w:rsid w:val="003C132A"/>
    <w:rsid w:val="003C1EAF"/>
    <w:rsid w:val="003D477D"/>
    <w:rsid w:val="003F0547"/>
    <w:rsid w:val="00425558"/>
    <w:rsid w:val="0042704B"/>
    <w:rsid w:val="00427FBD"/>
    <w:rsid w:val="00443BAB"/>
    <w:rsid w:val="00443E8D"/>
    <w:rsid w:val="00456CCA"/>
    <w:rsid w:val="00460740"/>
    <w:rsid w:val="004658D0"/>
    <w:rsid w:val="0049377D"/>
    <w:rsid w:val="00497467"/>
    <w:rsid w:val="004C103F"/>
    <w:rsid w:val="004C2548"/>
    <w:rsid w:val="004C63BD"/>
    <w:rsid w:val="004F020C"/>
    <w:rsid w:val="004F322B"/>
    <w:rsid w:val="004F3898"/>
    <w:rsid w:val="004F4572"/>
    <w:rsid w:val="0050776C"/>
    <w:rsid w:val="00512B3B"/>
    <w:rsid w:val="00513DD6"/>
    <w:rsid w:val="00514632"/>
    <w:rsid w:val="00517921"/>
    <w:rsid w:val="00534441"/>
    <w:rsid w:val="00541C77"/>
    <w:rsid w:val="00550640"/>
    <w:rsid w:val="005570A8"/>
    <w:rsid w:val="005606BC"/>
    <w:rsid w:val="00562A17"/>
    <w:rsid w:val="0056592A"/>
    <w:rsid w:val="00565EF3"/>
    <w:rsid w:val="00566E44"/>
    <w:rsid w:val="005722E9"/>
    <w:rsid w:val="0057241A"/>
    <w:rsid w:val="0058165A"/>
    <w:rsid w:val="00581668"/>
    <w:rsid w:val="005A2238"/>
    <w:rsid w:val="005A7808"/>
    <w:rsid w:val="005C1DF9"/>
    <w:rsid w:val="005C78EB"/>
    <w:rsid w:val="005D2DB5"/>
    <w:rsid w:val="005D3EA6"/>
    <w:rsid w:val="005D58B3"/>
    <w:rsid w:val="005E3880"/>
    <w:rsid w:val="005F2DBA"/>
    <w:rsid w:val="005F34F8"/>
    <w:rsid w:val="005F4F74"/>
    <w:rsid w:val="00606F29"/>
    <w:rsid w:val="00614BD7"/>
    <w:rsid w:val="006205FB"/>
    <w:rsid w:val="00621EB9"/>
    <w:rsid w:val="0063650D"/>
    <w:rsid w:val="00637EEF"/>
    <w:rsid w:val="00643D4B"/>
    <w:rsid w:val="00644EDB"/>
    <w:rsid w:val="006467F9"/>
    <w:rsid w:val="00655016"/>
    <w:rsid w:val="00662F80"/>
    <w:rsid w:val="00664416"/>
    <w:rsid w:val="00665565"/>
    <w:rsid w:val="0066703B"/>
    <w:rsid w:val="006779DA"/>
    <w:rsid w:val="00692BD3"/>
    <w:rsid w:val="00692C9B"/>
    <w:rsid w:val="006954AD"/>
    <w:rsid w:val="00695ED5"/>
    <w:rsid w:val="006A2FB5"/>
    <w:rsid w:val="006A793D"/>
    <w:rsid w:val="006A7BDD"/>
    <w:rsid w:val="006B504F"/>
    <w:rsid w:val="006C7E3D"/>
    <w:rsid w:val="006D53C3"/>
    <w:rsid w:val="006E4769"/>
    <w:rsid w:val="007001D0"/>
    <w:rsid w:val="00714C0A"/>
    <w:rsid w:val="00725215"/>
    <w:rsid w:val="00750E06"/>
    <w:rsid w:val="0075503C"/>
    <w:rsid w:val="00756066"/>
    <w:rsid w:val="00765AAF"/>
    <w:rsid w:val="00783327"/>
    <w:rsid w:val="00786486"/>
    <w:rsid w:val="00792F71"/>
    <w:rsid w:val="007A3AD4"/>
    <w:rsid w:val="007A5170"/>
    <w:rsid w:val="007A61C1"/>
    <w:rsid w:val="007A6516"/>
    <w:rsid w:val="007B391E"/>
    <w:rsid w:val="007C588F"/>
    <w:rsid w:val="007C640A"/>
    <w:rsid w:val="007D0F20"/>
    <w:rsid w:val="007D50AD"/>
    <w:rsid w:val="007E0FE7"/>
    <w:rsid w:val="007E5BDD"/>
    <w:rsid w:val="007F0C16"/>
    <w:rsid w:val="007F2734"/>
    <w:rsid w:val="007F6E36"/>
    <w:rsid w:val="00800C23"/>
    <w:rsid w:val="00810791"/>
    <w:rsid w:val="00813E5A"/>
    <w:rsid w:val="00830822"/>
    <w:rsid w:val="008524CE"/>
    <w:rsid w:val="00853A97"/>
    <w:rsid w:val="00854F65"/>
    <w:rsid w:val="00860616"/>
    <w:rsid w:val="00861C70"/>
    <w:rsid w:val="00876137"/>
    <w:rsid w:val="008829DC"/>
    <w:rsid w:val="0088503E"/>
    <w:rsid w:val="00887694"/>
    <w:rsid w:val="008975CC"/>
    <w:rsid w:val="008A0723"/>
    <w:rsid w:val="008A37F8"/>
    <w:rsid w:val="008A60CD"/>
    <w:rsid w:val="008B060A"/>
    <w:rsid w:val="008B6494"/>
    <w:rsid w:val="008C274D"/>
    <w:rsid w:val="008C5D4B"/>
    <w:rsid w:val="008F0DA3"/>
    <w:rsid w:val="008F267D"/>
    <w:rsid w:val="008F7281"/>
    <w:rsid w:val="008F7CAA"/>
    <w:rsid w:val="0090198C"/>
    <w:rsid w:val="009043C0"/>
    <w:rsid w:val="00904B18"/>
    <w:rsid w:val="0090604D"/>
    <w:rsid w:val="00916650"/>
    <w:rsid w:val="00922212"/>
    <w:rsid w:val="009274CB"/>
    <w:rsid w:val="00932576"/>
    <w:rsid w:val="009639E9"/>
    <w:rsid w:val="00982D41"/>
    <w:rsid w:val="009843B1"/>
    <w:rsid w:val="00984FCF"/>
    <w:rsid w:val="009875FC"/>
    <w:rsid w:val="009A1AFC"/>
    <w:rsid w:val="009A4EE1"/>
    <w:rsid w:val="009B180A"/>
    <w:rsid w:val="009B5667"/>
    <w:rsid w:val="009B5EFA"/>
    <w:rsid w:val="009D69D2"/>
    <w:rsid w:val="009E2F24"/>
    <w:rsid w:val="00A0663D"/>
    <w:rsid w:val="00A14C37"/>
    <w:rsid w:val="00A16D86"/>
    <w:rsid w:val="00A228C5"/>
    <w:rsid w:val="00A245CB"/>
    <w:rsid w:val="00A309A7"/>
    <w:rsid w:val="00A6541A"/>
    <w:rsid w:val="00A6545E"/>
    <w:rsid w:val="00A73112"/>
    <w:rsid w:val="00A7393D"/>
    <w:rsid w:val="00A770AE"/>
    <w:rsid w:val="00A9084E"/>
    <w:rsid w:val="00A92D4D"/>
    <w:rsid w:val="00A958E9"/>
    <w:rsid w:val="00AA1CAF"/>
    <w:rsid w:val="00AA7962"/>
    <w:rsid w:val="00AB435F"/>
    <w:rsid w:val="00AB5521"/>
    <w:rsid w:val="00AC2D1D"/>
    <w:rsid w:val="00AC4816"/>
    <w:rsid w:val="00AD0C88"/>
    <w:rsid w:val="00AD4B3D"/>
    <w:rsid w:val="00AE0912"/>
    <w:rsid w:val="00AE1DEE"/>
    <w:rsid w:val="00AE5D6C"/>
    <w:rsid w:val="00AF1C14"/>
    <w:rsid w:val="00AF357C"/>
    <w:rsid w:val="00AF3B1E"/>
    <w:rsid w:val="00AF429F"/>
    <w:rsid w:val="00B156EB"/>
    <w:rsid w:val="00B16A98"/>
    <w:rsid w:val="00B312EE"/>
    <w:rsid w:val="00B4299D"/>
    <w:rsid w:val="00B45EF8"/>
    <w:rsid w:val="00B5734B"/>
    <w:rsid w:val="00B726D9"/>
    <w:rsid w:val="00B74AA5"/>
    <w:rsid w:val="00B80C4E"/>
    <w:rsid w:val="00B83CE2"/>
    <w:rsid w:val="00B871E4"/>
    <w:rsid w:val="00BB7ED7"/>
    <w:rsid w:val="00BC6498"/>
    <w:rsid w:val="00BD1F40"/>
    <w:rsid w:val="00BD228B"/>
    <w:rsid w:val="00BD64F6"/>
    <w:rsid w:val="00BE12D8"/>
    <w:rsid w:val="00BE6FF5"/>
    <w:rsid w:val="00BF330E"/>
    <w:rsid w:val="00C14303"/>
    <w:rsid w:val="00C17804"/>
    <w:rsid w:val="00C2430A"/>
    <w:rsid w:val="00C26C4B"/>
    <w:rsid w:val="00C33F43"/>
    <w:rsid w:val="00C520FD"/>
    <w:rsid w:val="00C5519F"/>
    <w:rsid w:val="00C5715A"/>
    <w:rsid w:val="00C57731"/>
    <w:rsid w:val="00C66E1E"/>
    <w:rsid w:val="00C678E0"/>
    <w:rsid w:val="00C7038C"/>
    <w:rsid w:val="00C74710"/>
    <w:rsid w:val="00C90EF9"/>
    <w:rsid w:val="00C967BB"/>
    <w:rsid w:val="00C96F63"/>
    <w:rsid w:val="00CB1907"/>
    <w:rsid w:val="00CB251A"/>
    <w:rsid w:val="00CB6637"/>
    <w:rsid w:val="00CB7322"/>
    <w:rsid w:val="00CC0CF8"/>
    <w:rsid w:val="00CD0919"/>
    <w:rsid w:val="00CE3012"/>
    <w:rsid w:val="00CF5B48"/>
    <w:rsid w:val="00CF5BB5"/>
    <w:rsid w:val="00D01C9F"/>
    <w:rsid w:val="00D04B0F"/>
    <w:rsid w:val="00D209AB"/>
    <w:rsid w:val="00D21F29"/>
    <w:rsid w:val="00D2495C"/>
    <w:rsid w:val="00D252D3"/>
    <w:rsid w:val="00D2730B"/>
    <w:rsid w:val="00D32BC7"/>
    <w:rsid w:val="00D35537"/>
    <w:rsid w:val="00D43E6B"/>
    <w:rsid w:val="00D46D42"/>
    <w:rsid w:val="00D50782"/>
    <w:rsid w:val="00D5447E"/>
    <w:rsid w:val="00D61FAD"/>
    <w:rsid w:val="00D670D2"/>
    <w:rsid w:val="00D7008D"/>
    <w:rsid w:val="00D70A36"/>
    <w:rsid w:val="00D71B0F"/>
    <w:rsid w:val="00D755A8"/>
    <w:rsid w:val="00D87D01"/>
    <w:rsid w:val="00D95128"/>
    <w:rsid w:val="00DA12C7"/>
    <w:rsid w:val="00DA5378"/>
    <w:rsid w:val="00DA65A9"/>
    <w:rsid w:val="00DB037C"/>
    <w:rsid w:val="00DB44A3"/>
    <w:rsid w:val="00DC373F"/>
    <w:rsid w:val="00DC683B"/>
    <w:rsid w:val="00DD0170"/>
    <w:rsid w:val="00DD0404"/>
    <w:rsid w:val="00DE10D0"/>
    <w:rsid w:val="00E01C3D"/>
    <w:rsid w:val="00E03E87"/>
    <w:rsid w:val="00E04D0D"/>
    <w:rsid w:val="00E15384"/>
    <w:rsid w:val="00E24B9D"/>
    <w:rsid w:val="00E3601B"/>
    <w:rsid w:val="00E366B5"/>
    <w:rsid w:val="00E36931"/>
    <w:rsid w:val="00E40336"/>
    <w:rsid w:val="00E40F21"/>
    <w:rsid w:val="00E47A7E"/>
    <w:rsid w:val="00E51ED4"/>
    <w:rsid w:val="00E56238"/>
    <w:rsid w:val="00E57830"/>
    <w:rsid w:val="00E666C8"/>
    <w:rsid w:val="00E67112"/>
    <w:rsid w:val="00E71CFF"/>
    <w:rsid w:val="00E901C3"/>
    <w:rsid w:val="00E91717"/>
    <w:rsid w:val="00E925FF"/>
    <w:rsid w:val="00E93275"/>
    <w:rsid w:val="00E93422"/>
    <w:rsid w:val="00EB0D8C"/>
    <w:rsid w:val="00EC3342"/>
    <w:rsid w:val="00ED64B9"/>
    <w:rsid w:val="00ED6501"/>
    <w:rsid w:val="00ED67AD"/>
    <w:rsid w:val="00EE0565"/>
    <w:rsid w:val="00EE2741"/>
    <w:rsid w:val="00EF03FC"/>
    <w:rsid w:val="00EF537E"/>
    <w:rsid w:val="00EF654B"/>
    <w:rsid w:val="00F03D74"/>
    <w:rsid w:val="00F4562B"/>
    <w:rsid w:val="00F51456"/>
    <w:rsid w:val="00F559C9"/>
    <w:rsid w:val="00F62A5E"/>
    <w:rsid w:val="00F651A7"/>
    <w:rsid w:val="00F71F16"/>
    <w:rsid w:val="00F71FD1"/>
    <w:rsid w:val="00F81F15"/>
    <w:rsid w:val="00F83DC0"/>
    <w:rsid w:val="00FA065A"/>
    <w:rsid w:val="00FA368E"/>
    <w:rsid w:val="00FA65C1"/>
    <w:rsid w:val="00FB042F"/>
    <w:rsid w:val="00FC3EBA"/>
    <w:rsid w:val="00FD573D"/>
    <w:rsid w:val="00FD6F0E"/>
    <w:rsid w:val="00FF1986"/>
    <w:rsid w:val="00FF74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character" w:styleId="Hipervnculo">
    <w:name w:val="Hyperlink"/>
    <w:basedOn w:val="Fuentedeprrafopredeter"/>
    <w:uiPriority w:val="99"/>
    <w:unhideWhenUsed/>
    <w:rsid w:val="00AB5521"/>
    <w:rPr>
      <w:color w:val="0563C1" w:themeColor="hyperlink"/>
      <w:u w:val="single"/>
    </w:rPr>
  </w:style>
  <w:style w:type="character" w:styleId="Mencinsinresolver">
    <w:name w:val="Unresolved Mention"/>
    <w:basedOn w:val="Fuentedeprrafopredeter"/>
    <w:uiPriority w:val="99"/>
    <w:semiHidden/>
    <w:unhideWhenUsed/>
    <w:rsid w:val="00AB5521"/>
    <w:rPr>
      <w:color w:val="605E5C"/>
      <w:shd w:val="clear" w:color="auto" w:fill="E1DFDD"/>
    </w:rPr>
  </w:style>
  <w:style w:type="character" w:styleId="Hipervnculovisitado">
    <w:name w:val="FollowedHyperlink"/>
    <w:basedOn w:val="Fuentedeprrafopredeter"/>
    <w:uiPriority w:val="99"/>
    <w:semiHidden/>
    <w:unhideWhenUsed/>
    <w:rsid w:val="00AA7962"/>
    <w:rPr>
      <w:color w:val="954F72" w:themeColor="followedHyperlink"/>
      <w:u w:val="single"/>
    </w:rPr>
  </w:style>
  <w:style w:type="table" w:styleId="Tablaconcuadrcula">
    <w:name w:val="Table Grid"/>
    <w:basedOn w:val="Tablanormal"/>
    <w:uiPriority w:val="39"/>
    <w:rsid w:val="008A07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E04D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9-0009-9458-5882" TargetMode="External"/><Relationship Id="rId18" Type="http://schemas.openxmlformats.org/officeDocument/2006/relationships/image" Target="media/image3.emf"/><Relationship Id="rId26" Type="http://schemas.openxmlformats.org/officeDocument/2006/relationships/hyperlink" Target="https://www.funcionpublica.gov.co/eva/gestornormativo/norma.php?i=57353" TargetMode="External"/><Relationship Id="rId39" Type="http://schemas.openxmlformats.org/officeDocument/2006/relationships/header" Target="header1.xml"/><Relationship Id="rId21" Type="http://schemas.openxmlformats.org/officeDocument/2006/relationships/image" Target="media/image5.png"/><Relationship Id="rId34" Type="http://schemas.openxmlformats.org/officeDocument/2006/relationships/hyperlink" Target="https://www.eldiplo.org/seccion-desalineados/transicion-de-sudafrica-hacia-la-energia-justa/" TargetMode="External"/><Relationship Id="rId7" Type="http://schemas.openxmlformats.org/officeDocument/2006/relationships/hyperlink" Target="https://orcid.org/0000-0002-4945-4324" TargetMode="Externa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4.png"/><Relationship Id="rId29" Type="http://schemas.openxmlformats.org/officeDocument/2006/relationships/hyperlink" Target="https://doi.org/10.1016/j.apenergy.2018.09.05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3694-720X" TargetMode="External"/><Relationship Id="rId24" Type="http://schemas.openxmlformats.org/officeDocument/2006/relationships/hyperlink" Target="https://doi.org/10.1016/j.joitmc.2024.100365" TargetMode="External"/><Relationship Id="rId32" Type="http://schemas.openxmlformats.org/officeDocument/2006/relationships/hyperlink" Target="https://www.brookings.edu/tags/chinas-energy-in-transition/" TargetMode="External"/><Relationship Id="rId37" Type="http://schemas.openxmlformats.org/officeDocument/2006/relationships/hyperlink" Target="https://doi.org/10.1016/j.erss.2015.10.004"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doi.org/10.2478/lpts-2024-0020" TargetMode="External"/><Relationship Id="rId28" Type="http://schemas.openxmlformats.org/officeDocument/2006/relationships/hyperlink" Target="https://ember-energy.org/app/uploads/2024/05/Report-Global-Electricity-Review-2024.pdf" TargetMode="External"/><Relationship Id="rId36" Type="http://schemas.openxmlformats.org/officeDocument/2006/relationships/hyperlink" Target="https://www.sei.org/wp-content/uploads/2023/01/transicion-energetica-sei2023.002.pdf" TargetMode="External"/><Relationship Id="rId10" Type="http://schemas.openxmlformats.org/officeDocument/2006/relationships/hyperlink" Target="mailto:andreai.barrera@unad.edu.co" TargetMode="External"/><Relationship Id="rId19" Type="http://schemas.openxmlformats.org/officeDocument/2006/relationships/oleObject" Target="embeddings/oleObject2.bin"/><Relationship Id="rId31" Type="http://schemas.openxmlformats.org/officeDocument/2006/relationships/hyperlink" Target="https://www.ilo.org/es/publications/flagship-reports/informe-mundial-sobre-la-proteccion-social-2024-2026-proteccion-social" TargetMode="External"/><Relationship Id="rId4" Type="http://schemas.openxmlformats.org/officeDocument/2006/relationships/webSettings" Target="webSettings.xml"/><Relationship Id="rId9" Type="http://schemas.openxmlformats.org/officeDocument/2006/relationships/hyperlink" Target="https://orcid.org/0000-0003-2313-2471" TargetMode="External"/><Relationship Id="rId14" Type="http://schemas.openxmlformats.org/officeDocument/2006/relationships/hyperlink" Target="mailto:ldalarconca@unadvirtual.edu.co" TargetMode="External"/><Relationship Id="rId22" Type="http://schemas.openxmlformats.org/officeDocument/2006/relationships/hyperlink" Target="https://doi.org/10.7203/CIRIEC-E.104.21474" TargetMode="External"/><Relationship Id="rId27" Type="http://schemas.openxmlformats.org/officeDocument/2006/relationships/hyperlink" Target="https://coaltransitions.org/publications/?authors=Pablo+del+R%C3%ADo" TargetMode="External"/><Relationship Id="rId30" Type="http://schemas.openxmlformats.org/officeDocument/2006/relationships/hyperlink" Target="https://es.weforum.org/stories/2024/06/estos-4-paises-lideran-la-transicion-energetica/" TargetMode="External"/><Relationship Id="rId35" Type="http://schemas.openxmlformats.org/officeDocument/2006/relationships/hyperlink" Target="https://www.undp.org/sites/g/files/zskgke326/files/2023-01/Gu%C3%ADa%20para%20la%20construcci%C3%B3n%20de%20un%20modelo%20de%20Gobernanza%20Inclusiva_Integra.pdf" TargetMode="External"/><Relationship Id="rId8" Type="http://schemas.openxmlformats.org/officeDocument/2006/relationships/hyperlink" Target="mailto:adriana.noguera@unad.edu.co" TargetMode="External"/><Relationship Id="rId3" Type="http://schemas.openxmlformats.org/officeDocument/2006/relationships/settings" Target="settings.xml"/><Relationship Id="rId12" Type="http://schemas.openxmlformats.org/officeDocument/2006/relationships/hyperlink" Target="mailto:nelson.vargas@unad.edu.co" TargetMode="External"/><Relationship Id="rId17" Type="http://schemas.openxmlformats.org/officeDocument/2006/relationships/oleObject" Target="embeddings/oleObject1.bin"/><Relationship Id="rId25" Type="http://schemas.openxmlformats.org/officeDocument/2006/relationships/hyperlink" Target="https://www.brookings.edu/articles/how-do-china-and-america-think-about-the-energy-transition/" TargetMode="External"/><Relationship Id="rId33" Type="http://schemas.openxmlformats.org/officeDocument/2006/relationships/hyperlink" Target="https://www.minenergia.gov.co/documents/12591/DIAGN%C3%93STICO_BASE_PARA_LA_TRANSICI%C3%93N_ENERG%C3%89TICA_JUSTA_-_2024.pdf" TargetMode="External"/><Relationship Id="rId38" Type="http://schemas.openxmlformats.org/officeDocument/2006/relationships/hyperlink" Target="https://doi.org/10.1016/j.medcli.2010.01.0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3334</Words>
  <Characters>18340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Adriana Pilar Noguera Torres</cp:lastModifiedBy>
  <cp:revision>9</cp:revision>
  <dcterms:created xsi:type="dcterms:W3CDTF">2025-09-03T03:06:00Z</dcterms:created>
  <dcterms:modified xsi:type="dcterms:W3CDTF">2025-09-03T13:51:00Z</dcterms:modified>
</cp:coreProperties>
</file>