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90E2D"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TÍTULO:</w:t>
      </w:r>
      <w:r>
        <w:rPr>
          <w:rFonts w:ascii="Times New Roman" w:hAnsi="Times New Roman" w:cs="Times New Roman"/>
          <w:sz w:val="24"/>
          <w:szCs w:val="24"/>
        </w:rPr>
        <w:t xml:space="preserve"> El papel de las redes sociales en el proceso de aprendizaje universitario: un estudio en estudiantes de la Licenciatura en Mercadotecnia.</w:t>
      </w:r>
    </w:p>
    <w:p w14:paraId="69A19276"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AUTORES:</w:t>
      </w:r>
    </w:p>
    <w:p w14:paraId="767CA8F5"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1. Estudiante Alma Alejandra Morales Bojórquez</w:t>
      </w:r>
    </w:p>
    <w:p w14:paraId="276AB505"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2. Dr. Abraham Gerardo Pérez Sandoval.</w:t>
      </w:r>
    </w:p>
    <w:p w14:paraId="43AF3797"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3. Dr. German Martinez Prats</w:t>
      </w:r>
    </w:p>
    <w:p w14:paraId="33F46D3B"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RESUMEN:</w:t>
      </w:r>
      <w:r>
        <w:rPr>
          <w:rFonts w:ascii="Times New Roman" w:hAnsi="Times New Roman" w:cs="Times New Roman"/>
          <w:sz w:val="24"/>
          <w:szCs w:val="24"/>
        </w:rPr>
        <w:t xml:space="preserve"> El objetivo de esta investigación fue analizar el uso de las redes sociales en el proceso de aprendizaje de estudiantes de la Licenciatura en Mercadotecnia de una Universidad Pública en Tabasco. Se empleó un enfoque cuantitativo con diseño no experimental, transversal, descriptivo y correlacional en una muestra de 67 estudiantes. El cuestionario adaptado presentó una confiabilidad adecuada (α = .880). Los resultados de la prueba t de Student evidenciaron diferencias significativas entre hombres y mujeres e</w:t>
      </w:r>
      <w:r>
        <w:rPr>
          <w:rFonts w:ascii="Times New Roman" w:hAnsi="Times New Roman" w:cs="Times New Roman"/>
          <w:sz w:val="24"/>
          <w:szCs w:val="24"/>
        </w:rPr>
        <w:t>n comunicación académica y colaboración en equipo, siendo los varones quienes reportaron mayor uso. Asimismo, la correlación de Pearson mostró una relación negativa entre comunicación académica y promedio académico, hallazgo que resalta la importancia de reflexionar sobre el impacto de estas herramientas en el rendimiento estudiantil.</w:t>
      </w:r>
    </w:p>
    <w:p w14:paraId="430F2DF3"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PALABRAS CLAVE:</w:t>
      </w:r>
      <w:r>
        <w:rPr>
          <w:rFonts w:ascii="Times New Roman" w:hAnsi="Times New Roman" w:cs="Times New Roman"/>
          <w:sz w:val="24"/>
          <w:szCs w:val="24"/>
        </w:rPr>
        <w:t xml:space="preserve"> redes sociales, mercadotecnia, proceso de aprendizaje, estudiantes</w:t>
      </w:r>
    </w:p>
    <w:p w14:paraId="3862A1FD" w14:textId="77777777" w:rsidR="000A0580" w:rsidRDefault="00A9180F">
      <w:pPr>
        <w:spacing w:line="480" w:lineRule="auto"/>
        <w:jc w:val="both"/>
        <w:rPr>
          <w:rFonts w:ascii="Times New Roman" w:hAnsi="Times New Roman" w:cs="Times New Roman"/>
          <w:sz w:val="24"/>
          <w:szCs w:val="24"/>
          <w:lang w:val="en"/>
        </w:rPr>
      </w:pPr>
      <w:r>
        <w:rPr>
          <w:rFonts w:ascii="Times New Roman" w:hAnsi="Times New Roman" w:cs="Times New Roman"/>
          <w:b/>
          <w:bCs/>
          <w:sz w:val="24"/>
          <w:szCs w:val="24"/>
          <w:lang w:val="en"/>
        </w:rPr>
        <w:t>TITLE:</w:t>
      </w:r>
      <w:r>
        <w:rPr>
          <w:rFonts w:ascii="Times New Roman" w:hAnsi="Times New Roman" w:cs="Times New Roman"/>
          <w:sz w:val="24"/>
          <w:szCs w:val="24"/>
          <w:lang w:val="en"/>
        </w:rPr>
        <w:t xml:space="preserve"> The Role of Social Media in University Learning: A Study of Marketing Students.</w:t>
      </w:r>
    </w:p>
    <w:p w14:paraId="3AED312A" w14:textId="77777777" w:rsidR="000A0580" w:rsidRDefault="00A9180F">
      <w:pPr>
        <w:spacing w:line="48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AUTHORS:</w:t>
      </w:r>
    </w:p>
    <w:p w14:paraId="3883F253"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lang w:val="en"/>
        </w:rPr>
        <w:t>1. Student Alma Alejandra Morales Bojórquez</w:t>
      </w:r>
    </w:p>
    <w:p w14:paraId="38F41A5E"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PhD. Abraham Gerardo Pérez Sandoval. </w:t>
      </w:r>
    </w:p>
    <w:p w14:paraId="07A4552E"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ABSTRACT: </w:t>
      </w:r>
      <w:r>
        <w:rPr>
          <w:rFonts w:ascii="Times New Roman" w:hAnsi="Times New Roman" w:cs="Times New Roman"/>
          <w:sz w:val="24"/>
          <w:szCs w:val="24"/>
        </w:rPr>
        <w:t>The objective of this research was to analyze the use of social media in the learning process of students in the Bachelor’s Degree in Marketing at a public university in Tabasco. A quantitative approach with a non-experimental, cross-sectional, descriptive, and correlational design was applied to a sample of 67 students. The adapted questionnaire showed adequate reliability (α = .880). Results from the t-test indicated significant differences between men and women in academic communication and teamwork coll</w:t>
      </w:r>
      <w:r>
        <w:rPr>
          <w:rFonts w:ascii="Times New Roman" w:hAnsi="Times New Roman" w:cs="Times New Roman"/>
          <w:sz w:val="24"/>
          <w:szCs w:val="24"/>
        </w:rPr>
        <w:t>aboration, with men reporting greater use. Likewise, Pearson’s correlation revealed a negative relationship between academic communication and academic performance, a finding that highlights the importance of reflecting on the impact of these tools on student achievement.</w:t>
      </w:r>
    </w:p>
    <w:p w14:paraId="46646EB2"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KEYWORDS: </w:t>
      </w:r>
      <w:r>
        <w:rPr>
          <w:rFonts w:ascii="Times New Roman" w:hAnsi="Times New Roman" w:cs="Times New Roman"/>
          <w:sz w:val="24"/>
          <w:szCs w:val="24"/>
        </w:rPr>
        <w:t>social media, marketing, learning process, students.</w:t>
      </w:r>
    </w:p>
    <w:p w14:paraId="15F78A38"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INTRODUCCIÓN.</w:t>
      </w:r>
    </w:p>
    <w:p w14:paraId="547E3ADE"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En los últimos años, las redes sociales han dejado de ser consideradas únicamente espacios de entretenimiento para consolidarse como entornos con gran potencial educativo. Uno de los principales desafíos de la educación actual es reconstruir sus espacios y adaptarlos a una sociedad caracterizada por la inmediatez. En este sentido, las redes sociales se han convertido en herramientas clave dentro de la Web 2.0 por su capacidad de interacción y comunicación eficiente (Artero, 2011). Asimismo, otros recursos d</w:t>
      </w:r>
      <w:r>
        <w:rPr>
          <w:rFonts w:ascii="Times New Roman" w:hAnsi="Times New Roman" w:cs="Times New Roman"/>
          <w:sz w:val="24"/>
          <w:szCs w:val="24"/>
        </w:rPr>
        <w:t>igitales como los blogs, el correo electrónico y las plataformas de aprendizaje en línea han sido incorporados progresivamente en el ámbito educativo, ampliando sus posibilidades de uso (UNESCO, 2013).</w:t>
      </w:r>
    </w:p>
    <w:p w14:paraId="09A53D27"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empleo de redes sociales por parte de estudiantes y docentes de nivel superior ha aumentado significativamente, transformando la forma en que se accede a la información, se construyen aprendizajes colaborativos y se fortalecen las habilidades comunicativas. Esta facilidad de conexión mediante dispositivos móviles ha sido documentada en investigaciones previas (Cataldi, </w:t>
      </w:r>
      <w:r>
        <w:rPr>
          <w:rFonts w:ascii="Times New Roman" w:hAnsi="Times New Roman" w:cs="Times New Roman"/>
          <w:sz w:val="24"/>
          <w:szCs w:val="24"/>
        </w:rPr>
        <w:lastRenderedPageBreak/>
        <w:t>Méndez, Dominighini y Lage, 2012). Plataformas como WhatsApp, Instagram y YouTube se han convertido en herramientas utilizadas para compartir información, entregar tareas y mantener una comunicación activa en el aula (Calle, Rivera y González, 2022). Este fenómeno no solo responde al desarrollo tecnológico, sino también a la necesidad de adecuar la educación a un contexto social en constante transformación (Olivares, 2020).</w:t>
      </w:r>
    </w:p>
    <w:p w14:paraId="2327C73A"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Islas y Carranza (2011), las plataformas digitales no se limitan a la interacción social, sino que ofrecen espacios valiosos para la comunicación, el intercambio de conocimientos y el aprendizaje en comunidad. Estas herramientas, que en un principio fueron percibidas como recreativas, han modificado la concepción de la enseñanza, motivando la transición de modelos tradicionales hacia prácticas más dinámicas y participativas. De igual forma, favorecen el aprendizaje informal al brindar acceso </w:t>
      </w:r>
      <w:r>
        <w:rPr>
          <w:rFonts w:ascii="Times New Roman" w:hAnsi="Times New Roman" w:cs="Times New Roman"/>
          <w:sz w:val="24"/>
          <w:szCs w:val="24"/>
        </w:rPr>
        <w:t>autónomo a la información y a la construcción de nuevos conocimientos fuera del aula presencial (Macías, 2022).</w:t>
      </w:r>
    </w:p>
    <w:p w14:paraId="4812CF8A"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La Asociación de Investigación de Medios de Comunicación (2024) informó que en España el 91.5% de los jóvenes mayores de 14 años acceden a internet, siendo el teléfono móvil el principal medio de conexión. Además, más del 88% de ellos se conecta diariamente entre dos y cuatro horas, principalmente a redes sociales y servicios de mensajería. Entre las plataformas más utilizadas destacan Instagram, Facebook, X y TikTok, con una preferencia actual por Instagram.</w:t>
      </w:r>
    </w:p>
    <w:p w14:paraId="14B0C850"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Por otra parte, un estudio realizado por Hidalgo et al. (2017) evidenció que el uso de Facebook como complemento a la enseñanza presencial incrementó en un 90% la participación de los estudiantes, al favorecer la interacción entre compañeros y la colaboración en trabajos en equipo. Estos hallazgos muestran que, cuando las redes sociales se emplean con fines pedagógicos, se convierten en espacios activos de aprendizaje. Investigaciones recientes también resaltan que herramientas como Facebook y YouTube permi</w:t>
      </w:r>
      <w:r>
        <w:rPr>
          <w:rFonts w:ascii="Times New Roman" w:hAnsi="Times New Roman" w:cs="Times New Roman"/>
          <w:sz w:val="24"/>
          <w:szCs w:val="24"/>
        </w:rPr>
        <w:t>ten el intercambio de materiales académicos y la creación de comunidades de estudio colaborativas (Chávez y Barahona, 2024). En este marco, la noción de “zona de desarrollo próximo” se aplica a entornos digitales, ampliando el conocimiento mediante interacciones colaborativas y asincrónicas que favorecen el aprendizaje colectivo (Borgobello y Monjelat, 2019).</w:t>
      </w:r>
    </w:p>
    <w:p w14:paraId="5D015D1B"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Sin embargo, no todo uso de las redes sociales con fines educativos garantiza resultados positivos. Macías (2022) identificó tanto beneficios como riesgos en su aplicación. Entre los aspectos favorables se encuentra la mejora de competencias digitales, el aumento de la motivación y la posibilidad de crear comunidades en línea de aprendizaje. A la par, se señalan limitaciones como la distracción, la sobrecarga de información y el uso inadecuado de estas plataformas sin fines académicos. Por esta razón, el ac</w:t>
      </w:r>
      <w:r>
        <w:rPr>
          <w:rFonts w:ascii="Times New Roman" w:hAnsi="Times New Roman" w:cs="Times New Roman"/>
          <w:sz w:val="24"/>
          <w:szCs w:val="24"/>
        </w:rPr>
        <w:t>ompañamiento docente con competencias digitales actualizadas resulta indispensable para el logro de aprendizajes efectivos. Asimismo, variables como la edad del usuario, el nivel de competencia tecnológica y el contexto institucional influyen directamente en el aprovechamiento académico de estas herramientas. La brecha generacional entre estudiantes y docentes también constituye una barrera en su integración plena (Olivares, 2020).</w:t>
      </w:r>
    </w:p>
    <w:p w14:paraId="185DCFEB"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En conjunto, estas investigaciones muestran que las redes sociales han adquirido un papel fundamental en la vida de los jóvenes estudiantes, superando el ámbito del ocio y el entretenimiento. Analizar cómo las utilizan, con qué objetivos y bajo qué condiciones permitirá a las instituciones y docentes generar estrategias y metodologías que fortalezcan las competencias y la comunicación en los estudiantes.</w:t>
      </w:r>
    </w:p>
    <w:p w14:paraId="61FE2E8E"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En este sentido, la presente investigación expone los resultados de un estudio con enfoque cuantitativo cuyo propósito principal fue analizar el uso que los estudiantes de la Licenciatura en Mercadotecnia de una Universidad Pública del Estado de Tabasco hacen de las redes sociales dentro de su proceso de aprendizaje. Con ello, se busca aportar elementos que faciliten la comprensión de sus prácticas y que orienten a las instituciones y docentes hacia la implementación de estrategias y metodologías que fortal</w:t>
      </w:r>
      <w:r>
        <w:rPr>
          <w:rFonts w:ascii="Times New Roman" w:hAnsi="Times New Roman" w:cs="Times New Roman"/>
          <w:sz w:val="24"/>
          <w:szCs w:val="24"/>
        </w:rPr>
        <w:t>ezcan las competencias académicas y la comunicación estudiantil.</w:t>
      </w:r>
    </w:p>
    <w:p w14:paraId="6F4CE2A9"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DESARROLLO.</w:t>
      </w:r>
    </w:p>
    <w:p w14:paraId="73A06EDE"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Enfoque y diseño de la investigación.</w:t>
      </w:r>
    </w:p>
    <w:p w14:paraId="6CCA360E"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La presente investigación se desarrolló bajo un enfoque cuantitativo, con un diseño no experimental, transversal, descriptivo y correlacional (Hernández et al., 2014). Este tipo de diseño se eligió porque la variable analizada no fue manipulada por los investigadores, sino observada en su contexto natural. Asimismo, la recolección de datos se llevó a cabo en un único periodo de tiempo, lo que permitió describir el comportamiento de la población estudiada y, posteriormente, analizar las relaciones entre vari</w:t>
      </w:r>
      <w:r>
        <w:rPr>
          <w:rFonts w:ascii="Times New Roman" w:hAnsi="Times New Roman" w:cs="Times New Roman"/>
          <w:sz w:val="24"/>
          <w:szCs w:val="24"/>
        </w:rPr>
        <w:t>ables mediante procedimientos estadísticos. De acuerdo con lo señalado por Hernández et al. (2014), este tipo de diseño resulta pertinente cuando se busca identificar patrones, asociaciones y niveles de influencia entre los factores de estudio sin alterar las condiciones en que ocurren los fenómenos.</w:t>
      </w:r>
    </w:p>
    <w:p w14:paraId="24889739"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Población y muestra.</w:t>
      </w:r>
    </w:p>
    <w:p w14:paraId="271E1AFC"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La población de estudio estuvo conformada por estudiantes de las licenciaturas en Contaduría Pública, Administración, Mercadotecnia y Economía de una universidad pública del estado de Tabasco, lo que representó un total de 4,322 alumnos inscritos, de acuerdo con el Informe de Actividades de la UJAT (2024). A diferencia de otros estudios en los que se acota la muestra a estudiantes de semestres avanzados, en esta investigación se consideró a la totalidad de la población, sin importar el ciclo que cursaban. E</w:t>
      </w:r>
      <w:r>
        <w:rPr>
          <w:rFonts w:ascii="Times New Roman" w:hAnsi="Times New Roman" w:cs="Times New Roman"/>
          <w:sz w:val="24"/>
          <w:szCs w:val="24"/>
        </w:rPr>
        <w:t>sta decisión respondió al objetivo central del estudio, que consiste en analizar el uso de las redes sociales en el proceso de aprendizaje, ya que se reconoce que tanto los estudiantes de nuevo ingreso como los de niveles superiores hacen uso de estas plataformas, aunque con diferentes finalidades y grados de experiencia. Incluir a todos los semestres permitió obtener una visión más amplia y realista del fenómeno, fortaleciendo la validez de los resultados.</w:t>
      </w:r>
    </w:p>
    <w:p w14:paraId="48FDEEA4"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De acuerdo con la propuesta metodológica de Walpole et al. (2007), se utilizó un muestreo aleatorio simple para determinar el tamaño de la muestra, el cual fue de 356 estudiantes, considerando un nivel de confianza del 95% y un margen de error del 5%. Una vez definido el tamaño de la muestra, se procedió a calcular la representación proporcional de los participantes en función de la población total. Para ello se siguieron los siguientes pasos: 1) se dividió el tamaño de la muestra (356) entre la población t</w:t>
      </w:r>
      <w:r>
        <w:rPr>
          <w:rFonts w:ascii="Times New Roman" w:hAnsi="Times New Roman" w:cs="Times New Roman"/>
          <w:sz w:val="24"/>
          <w:szCs w:val="24"/>
        </w:rPr>
        <w:t>otal (4,322), 2) este procedimiento arrojó un resultado de 0.081906525, identificado como el factor de integración, y 3) dicho factor se multiplicó por la población correspondiente a cada programa educativo. No obstante, en el caso de la presente investigación únicamente se analizaron los resultados de los estudiantes de la Licenciatura en Mercadotecnia, con el propósito de dar cumplimiento al objetivo central del estudio.</w:t>
      </w:r>
    </w:p>
    <w:p w14:paraId="50B8F327" w14:textId="77777777" w:rsidR="000A0580" w:rsidRDefault="00A9180F">
      <w:pPr>
        <w:spacing w:line="480" w:lineRule="auto"/>
        <w:jc w:val="both"/>
        <w:rPr>
          <w:rStyle w:val="hps"/>
          <w:rFonts w:ascii="Times New Roman" w:hAnsi="Times New Roman" w:cs="Times New Roman"/>
          <w:b/>
          <w:bCs/>
          <w:sz w:val="24"/>
          <w:szCs w:val="24"/>
        </w:rPr>
      </w:pPr>
      <w:r>
        <w:rPr>
          <w:rStyle w:val="hps"/>
          <w:rFonts w:ascii="Times New Roman" w:hAnsi="Times New Roman" w:cs="Times New Roman"/>
          <w:b/>
          <w:bCs/>
          <w:sz w:val="24"/>
          <w:szCs w:val="24"/>
        </w:rPr>
        <w:t>Tabla 1.</w:t>
      </w:r>
    </w:p>
    <w:p w14:paraId="6254F662" w14:textId="77777777" w:rsidR="000A0580" w:rsidRDefault="00A9180F">
      <w:pPr>
        <w:spacing w:line="480" w:lineRule="auto"/>
        <w:jc w:val="both"/>
        <w:rPr>
          <w:rStyle w:val="hps"/>
          <w:rFonts w:ascii="Times New Roman" w:hAnsi="Times New Roman" w:cs="Times New Roman"/>
          <w:sz w:val="24"/>
          <w:szCs w:val="24"/>
        </w:rPr>
      </w:pPr>
      <w:r>
        <w:rPr>
          <w:rStyle w:val="hps"/>
          <w:rFonts w:ascii="Times New Roman" w:hAnsi="Times New Roman" w:cs="Times New Roman"/>
          <w:i/>
          <w:iCs/>
          <w:sz w:val="24"/>
          <w:szCs w:val="24"/>
        </w:rPr>
        <w:t>Población y muestra.</w:t>
      </w:r>
    </w:p>
    <w:tbl>
      <w:tblPr>
        <w:tblStyle w:val="Tablaconcuadrcula"/>
        <w:tblW w:w="94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1808"/>
        <w:gridCol w:w="2293"/>
        <w:gridCol w:w="1700"/>
      </w:tblGrid>
      <w:tr w:rsidR="000A0580" w14:paraId="2844CE22" w14:textId="77777777">
        <w:trPr>
          <w:trHeight w:val="407"/>
          <w:jc w:val="center"/>
        </w:trPr>
        <w:tc>
          <w:tcPr>
            <w:tcW w:w="3618" w:type="dxa"/>
            <w:tcBorders>
              <w:top w:val="single" w:sz="4" w:space="0" w:color="auto"/>
              <w:bottom w:val="single" w:sz="4" w:space="0" w:color="auto"/>
            </w:tcBorders>
            <w:noWrap/>
          </w:tcPr>
          <w:p w14:paraId="707CF7EC"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Licenciatura</w:t>
            </w:r>
          </w:p>
        </w:tc>
        <w:tc>
          <w:tcPr>
            <w:tcW w:w="1808" w:type="dxa"/>
            <w:tcBorders>
              <w:top w:val="single" w:sz="4" w:space="0" w:color="auto"/>
              <w:bottom w:val="single" w:sz="4" w:space="0" w:color="auto"/>
            </w:tcBorders>
            <w:noWrap/>
          </w:tcPr>
          <w:p w14:paraId="05400F46"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Población</w:t>
            </w:r>
          </w:p>
        </w:tc>
        <w:tc>
          <w:tcPr>
            <w:tcW w:w="2293" w:type="dxa"/>
            <w:tcBorders>
              <w:top w:val="single" w:sz="4" w:space="0" w:color="auto"/>
              <w:bottom w:val="single" w:sz="4" w:space="0" w:color="auto"/>
            </w:tcBorders>
            <w:noWrap/>
          </w:tcPr>
          <w:p w14:paraId="0596B18C"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Factor</w:t>
            </w:r>
          </w:p>
        </w:tc>
        <w:tc>
          <w:tcPr>
            <w:tcW w:w="1700" w:type="dxa"/>
            <w:tcBorders>
              <w:top w:val="single" w:sz="4" w:space="0" w:color="auto"/>
              <w:bottom w:val="single" w:sz="4" w:space="0" w:color="auto"/>
            </w:tcBorders>
            <w:noWrap/>
          </w:tcPr>
          <w:p w14:paraId="0125F56C"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Muestra</w:t>
            </w:r>
          </w:p>
        </w:tc>
      </w:tr>
      <w:tr w:rsidR="000A0580" w14:paraId="4824099F" w14:textId="77777777">
        <w:trPr>
          <w:trHeight w:val="407"/>
          <w:jc w:val="center"/>
        </w:trPr>
        <w:tc>
          <w:tcPr>
            <w:tcW w:w="3618" w:type="dxa"/>
            <w:tcBorders>
              <w:top w:val="single" w:sz="4" w:space="0" w:color="auto"/>
            </w:tcBorders>
            <w:noWrap/>
          </w:tcPr>
          <w:p w14:paraId="72A4B409"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Lic. En Contaduría Pública</w:t>
            </w:r>
          </w:p>
        </w:tc>
        <w:tc>
          <w:tcPr>
            <w:tcW w:w="1808" w:type="dxa"/>
            <w:tcBorders>
              <w:top w:val="single" w:sz="4" w:space="0" w:color="auto"/>
            </w:tcBorders>
            <w:noWrap/>
          </w:tcPr>
          <w:p w14:paraId="339B9FC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1,735</w:t>
            </w:r>
          </w:p>
        </w:tc>
        <w:tc>
          <w:tcPr>
            <w:tcW w:w="2293" w:type="dxa"/>
            <w:tcBorders>
              <w:top w:val="single" w:sz="4" w:space="0" w:color="auto"/>
            </w:tcBorders>
            <w:noWrap/>
          </w:tcPr>
          <w:p w14:paraId="744CDFDE"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0.081906525</w:t>
            </w:r>
          </w:p>
        </w:tc>
        <w:tc>
          <w:tcPr>
            <w:tcW w:w="1700" w:type="dxa"/>
            <w:tcBorders>
              <w:top w:val="single" w:sz="4" w:space="0" w:color="auto"/>
            </w:tcBorders>
            <w:noWrap/>
          </w:tcPr>
          <w:p w14:paraId="4435344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143</w:t>
            </w:r>
          </w:p>
        </w:tc>
      </w:tr>
      <w:tr w:rsidR="000A0580" w14:paraId="2F824439" w14:textId="77777777">
        <w:trPr>
          <w:trHeight w:val="407"/>
          <w:jc w:val="center"/>
        </w:trPr>
        <w:tc>
          <w:tcPr>
            <w:tcW w:w="3618" w:type="dxa"/>
            <w:noWrap/>
          </w:tcPr>
          <w:p w14:paraId="2991F394"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Lic. En Administración</w:t>
            </w:r>
          </w:p>
        </w:tc>
        <w:tc>
          <w:tcPr>
            <w:tcW w:w="1808" w:type="dxa"/>
            <w:noWrap/>
          </w:tcPr>
          <w:p w14:paraId="5F3A2DE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1,521</w:t>
            </w:r>
          </w:p>
        </w:tc>
        <w:tc>
          <w:tcPr>
            <w:tcW w:w="2293" w:type="dxa"/>
            <w:noWrap/>
          </w:tcPr>
          <w:p w14:paraId="56011A5E"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0.081906525</w:t>
            </w:r>
          </w:p>
        </w:tc>
        <w:tc>
          <w:tcPr>
            <w:tcW w:w="1700" w:type="dxa"/>
            <w:noWrap/>
          </w:tcPr>
          <w:p w14:paraId="035D5B3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125</w:t>
            </w:r>
          </w:p>
        </w:tc>
      </w:tr>
      <w:tr w:rsidR="000A0580" w14:paraId="1EB49C0E" w14:textId="77777777">
        <w:trPr>
          <w:trHeight w:val="407"/>
          <w:jc w:val="center"/>
        </w:trPr>
        <w:tc>
          <w:tcPr>
            <w:tcW w:w="3618" w:type="dxa"/>
            <w:noWrap/>
          </w:tcPr>
          <w:p w14:paraId="33800B5C"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Lic. En Mercadotecnia</w:t>
            </w:r>
          </w:p>
        </w:tc>
        <w:tc>
          <w:tcPr>
            <w:tcW w:w="1808" w:type="dxa"/>
            <w:noWrap/>
          </w:tcPr>
          <w:p w14:paraId="52409B4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816</w:t>
            </w:r>
          </w:p>
        </w:tc>
        <w:tc>
          <w:tcPr>
            <w:tcW w:w="2293" w:type="dxa"/>
            <w:noWrap/>
          </w:tcPr>
          <w:p w14:paraId="1392620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0.081906525</w:t>
            </w:r>
          </w:p>
        </w:tc>
        <w:tc>
          <w:tcPr>
            <w:tcW w:w="1700" w:type="dxa"/>
            <w:noWrap/>
          </w:tcPr>
          <w:p w14:paraId="71C7F2A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r>
      <w:tr w:rsidR="000A0580" w14:paraId="64C8949A" w14:textId="77777777">
        <w:trPr>
          <w:trHeight w:val="407"/>
          <w:jc w:val="center"/>
        </w:trPr>
        <w:tc>
          <w:tcPr>
            <w:tcW w:w="3618" w:type="dxa"/>
            <w:noWrap/>
          </w:tcPr>
          <w:p w14:paraId="11D37F29"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Lic. En Economía</w:t>
            </w:r>
          </w:p>
        </w:tc>
        <w:tc>
          <w:tcPr>
            <w:tcW w:w="1808" w:type="dxa"/>
            <w:noWrap/>
          </w:tcPr>
          <w:p w14:paraId="79C1F29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250</w:t>
            </w:r>
          </w:p>
        </w:tc>
        <w:tc>
          <w:tcPr>
            <w:tcW w:w="2293" w:type="dxa"/>
            <w:noWrap/>
          </w:tcPr>
          <w:p w14:paraId="2084EC5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0.081906525</w:t>
            </w:r>
          </w:p>
        </w:tc>
        <w:tc>
          <w:tcPr>
            <w:tcW w:w="1700" w:type="dxa"/>
            <w:noWrap/>
          </w:tcPr>
          <w:p w14:paraId="266AA85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21</w:t>
            </w:r>
          </w:p>
        </w:tc>
      </w:tr>
      <w:tr w:rsidR="000A0580" w14:paraId="6ACB9CD9" w14:textId="77777777">
        <w:trPr>
          <w:trHeight w:val="407"/>
          <w:jc w:val="center"/>
        </w:trPr>
        <w:tc>
          <w:tcPr>
            <w:tcW w:w="3618" w:type="dxa"/>
            <w:tcBorders>
              <w:bottom w:val="single" w:sz="4" w:space="0" w:color="auto"/>
            </w:tcBorders>
            <w:noWrap/>
          </w:tcPr>
          <w:p w14:paraId="7DF9BBF9"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Población total</w:t>
            </w:r>
          </w:p>
        </w:tc>
        <w:tc>
          <w:tcPr>
            <w:tcW w:w="1808" w:type="dxa"/>
            <w:tcBorders>
              <w:bottom w:val="single" w:sz="4" w:space="0" w:color="auto"/>
            </w:tcBorders>
            <w:noWrap/>
          </w:tcPr>
          <w:p w14:paraId="70AD2C1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4,322</w:t>
            </w:r>
          </w:p>
        </w:tc>
        <w:tc>
          <w:tcPr>
            <w:tcW w:w="2293" w:type="dxa"/>
            <w:tcBorders>
              <w:bottom w:val="single" w:sz="4" w:space="0" w:color="auto"/>
            </w:tcBorders>
            <w:noWrap/>
          </w:tcPr>
          <w:p w14:paraId="3E81C9D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0.081906525</w:t>
            </w:r>
          </w:p>
        </w:tc>
        <w:tc>
          <w:tcPr>
            <w:tcW w:w="1700" w:type="dxa"/>
            <w:tcBorders>
              <w:bottom w:val="single" w:sz="4" w:space="0" w:color="auto"/>
            </w:tcBorders>
            <w:noWrap/>
          </w:tcPr>
          <w:p w14:paraId="1428582E"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356</w:t>
            </w:r>
          </w:p>
        </w:tc>
      </w:tr>
    </w:tbl>
    <w:p w14:paraId="204D1D41"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Fuente: elaboración propia. </w:t>
      </w:r>
    </w:p>
    <w:p w14:paraId="49681A28" w14:textId="77777777" w:rsidR="000A0580" w:rsidRDefault="00A9180F">
      <w:pPr>
        <w:spacing w:line="480" w:lineRule="auto"/>
        <w:jc w:val="both"/>
        <w:rPr>
          <w:rFonts w:ascii="Times New Roman" w:hAnsi="Times New Roman" w:cs="Times New Roman"/>
          <w:sz w:val="24"/>
          <w:szCs w:val="24"/>
        </w:rPr>
      </w:pPr>
      <w:bookmarkStart w:id="0" w:name="_Hlk175920238"/>
      <w:bookmarkStart w:id="1" w:name="_Hlk175920207"/>
      <w:r>
        <w:rPr>
          <w:rFonts w:ascii="Times New Roman" w:hAnsi="Times New Roman" w:cs="Times New Roman"/>
          <w:sz w:val="24"/>
          <w:szCs w:val="24"/>
        </w:rPr>
        <w:t>La Tabla 2 presenta los datos sociodemográficos de los estudiantes de la Licenciatura en Mercadotecnia.</w:t>
      </w:r>
    </w:p>
    <w:p w14:paraId="39C05EAD"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Tabla 2</w:t>
      </w:r>
    </w:p>
    <w:p w14:paraId="23FCED23" w14:textId="77777777" w:rsidR="000A0580" w:rsidRDefault="00A9180F">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Información sociodemográfica de los estudiantes de la Licenciatura en Mercadotecnia. </w:t>
      </w:r>
    </w:p>
    <w:tbl>
      <w:tblPr>
        <w:tblStyle w:val="Tablaconcuadrcula"/>
        <w:tblW w:w="9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603"/>
        <w:gridCol w:w="684"/>
        <w:gridCol w:w="1001"/>
        <w:gridCol w:w="307"/>
        <w:gridCol w:w="543"/>
        <w:gridCol w:w="812"/>
        <w:gridCol w:w="885"/>
        <w:gridCol w:w="708"/>
        <w:gridCol w:w="684"/>
        <w:gridCol w:w="972"/>
        <w:gridCol w:w="617"/>
        <w:gridCol w:w="684"/>
      </w:tblGrid>
      <w:tr w:rsidR="000A0580" w14:paraId="6C745048" w14:textId="77777777">
        <w:trPr>
          <w:trHeight w:val="134"/>
        </w:trPr>
        <w:tc>
          <w:tcPr>
            <w:tcW w:w="831" w:type="dxa"/>
            <w:tcBorders>
              <w:top w:val="single" w:sz="4" w:space="0" w:color="auto"/>
              <w:bottom w:val="single" w:sz="4" w:space="0" w:color="auto"/>
            </w:tcBorders>
            <w:noWrap/>
          </w:tcPr>
          <w:p w14:paraId="39222CD6" w14:textId="77777777" w:rsidR="000A0580" w:rsidRDefault="00A9180F">
            <w:pPr>
              <w:spacing w:after="0" w:line="480" w:lineRule="auto"/>
              <w:jc w:val="center"/>
              <w:rPr>
                <w:rFonts w:ascii="Times New Roman" w:eastAsia="Arial" w:hAnsi="Times New Roman" w:cs="Times New Roman"/>
                <w:b/>
                <w:bCs/>
                <w:sz w:val="24"/>
                <w:szCs w:val="24"/>
                <w:lang w:eastAsia="es-MX"/>
              </w:rPr>
            </w:pPr>
            <w:bookmarkStart w:id="2" w:name="_Hlk175920700"/>
            <w:bookmarkStart w:id="3" w:name="_Hlk175920257"/>
            <w:bookmarkEnd w:id="0"/>
            <w:r>
              <w:rPr>
                <w:rFonts w:ascii="Times New Roman" w:eastAsia="Arial" w:hAnsi="Times New Roman" w:cs="Times New Roman"/>
                <w:b/>
                <w:bCs/>
                <w:sz w:val="24"/>
                <w:szCs w:val="24"/>
                <w:lang w:eastAsia="es-MX"/>
              </w:rPr>
              <w:t>GE</w:t>
            </w:r>
          </w:p>
        </w:tc>
        <w:tc>
          <w:tcPr>
            <w:tcW w:w="603" w:type="dxa"/>
            <w:tcBorders>
              <w:top w:val="single" w:sz="4" w:space="0" w:color="auto"/>
              <w:bottom w:val="single" w:sz="4" w:space="0" w:color="auto"/>
            </w:tcBorders>
            <w:noWrap/>
          </w:tcPr>
          <w:p w14:paraId="6F1ECE67"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N</w:t>
            </w:r>
          </w:p>
        </w:tc>
        <w:tc>
          <w:tcPr>
            <w:tcW w:w="684" w:type="dxa"/>
            <w:tcBorders>
              <w:top w:val="single" w:sz="4" w:space="0" w:color="auto"/>
              <w:bottom w:val="single" w:sz="4" w:space="0" w:color="auto"/>
            </w:tcBorders>
            <w:noWrap/>
          </w:tcPr>
          <w:p w14:paraId="0BE13C42"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w:t>
            </w:r>
          </w:p>
        </w:tc>
        <w:tc>
          <w:tcPr>
            <w:tcW w:w="1001" w:type="dxa"/>
            <w:tcBorders>
              <w:top w:val="single" w:sz="4" w:space="0" w:color="auto"/>
              <w:bottom w:val="single" w:sz="4" w:space="0" w:color="auto"/>
            </w:tcBorders>
            <w:noWrap/>
          </w:tcPr>
          <w:p w14:paraId="5AD16699"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ED</w:t>
            </w:r>
          </w:p>
        </w:tc>
        <w:tc>
          <w:tcPr>
            <w:tcW w:w="850" w:type="dxa"/>
            <w:gridSpan w:val="2"/>
            <w:tcBorders>
              <w:top w:val="single" w:sz="4" w:space="0" w:color="auto"/>
              <w:bottom w:val="single" w:sz="4" w:space="0" w:color="auto"/>
            </w:tcBorders>
            <w:noWrap/>
          </w:tcPr>
          <w:p w14:paraId="2E59E562"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N</w:t>
            </w:r>
          </w:p>
        </w:tc>
        <w:tc>
          <w:tcPr>
            <w:tcW w:w="812" w:type="dxa"/>
            <w:tcBorders>
              <w:top w:val="single" w:sz="4" w:space="0" w:color="auto"/>
              <w:bottom w:val="single" w:sz="4" w:space="0" w:color="auto"/>
            </w:tcBorders>
            <w:noWrap/>
          </w:tcPr>
          <w:p w14:paraId="49C1A65C"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w:t>
            </w:r>
          </w:p>
        </w:tc>
        <w:tc>
          <w:tcPr>
            <w:tcW w:w="885" w:type="dxa"/>
            <w:tcBorders>
              <w:top w:val="single" w:sz="4" w:space="0" w:color="auto"/>
              <w:bottom w:val="single" w:sz="4" w:space="0" w:color="auto"/>
            </w:tcBorders>
            <w:noWrap/>
          </w:tcPr>
          <w:p w14:paraId="2517F562"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PR</w:t>
            </w:r>
          </w:p>
        </w:tc>
        <w:tc>
          <w:tcPr>
            <w:tcW w:w="708" w:type="dxa"/>
            <w:tcBorders>
              <w:top w:val="single" w:sz="4" w:space="0" w:color="auto"/>
              <w:bottom w:val="single" w:sz="4" w:space="0" w:color="auto"/>
            </w:tcBorders>
            <w:noWrap/>
          </w:tcPr>
          <w:p w14:paraId="232D81E7"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N</w:t>
            </w:r>
          </w:p>
        </w:tc>
        <w:tc>
          <w:tcPr>
            <w:tcW w:w="684" w:type="dxa"/>
            <w:tcBorders>
              <w:top w:val="single" w:sz="4" w:space="0" w:color="auto"/>
              <w:bottom w:val="single" w:sz="4" w:space="0" w:color="auto"/>
            </w:tcBorders>
            <w:noWrap/>
          </w:tcPr>
          <w:p w14:paraId="23DD3178"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w:t>
            </w:r>
          </w:p>
        </w:tc>
        <w:tc>
          <w:tcPr>
            <w:tcW w:w="972" w:type="dxa"/>
            <w:tcBorders>
              <w:top w:val="single" w:sz="4" w:space="0" w:color="auto"/>
              <w:bottom w:val="single" w:sz="4" w:space="0" w:color="auto"/>
            </w:tcBorders>
            <w:noWrap/>
          </w:tcPr>
          <w:p w14:paraId="77BF850F"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SE</w:t>
            </w:r>
          </w:p>
        </w:tc>
        <w:tc>
          <w:tcPr>
            <w:tcW w:w="617" w:type="dxa"/>
            <w:tcBorders>
              <w:top w:val="single" w:sz="4" w:space="0" w:color="auto"/>
              <w:bottom w:val="single" w:sz="4" w:space="0" w:color="auto"/>
            </w:tcBorders>
            <w:noWrap/>
          </w:tcPr>
          <w:p w14:paraId="096080B2"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N</w:t>
            </w:r>
          </w:p>
        </w:tc>
        <w:tc>
          <w:tcPr>
            <w:tcW w:w="684" w:type="dxa"/>
            <w:tcBorders>
              <w:top w:val="single" w:sz="4" w:space="0" w:color="auto"/>
              <w:bottom w:val="single" w:sz="4" w:space="0" w:color="auto"/>
            </w:tcBorders>
            <w:noWrap/>
          </w:tcPr>
          <w:p w14:paraId="5635E3E3"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w:t>
            </w:r>
          </w:p>
        </w:tc>
      </w:tr>
      <w:tr w:rsidR="000A0580" w14:paraId="0C1CAAFC" w14:textId="77777777">
        <w:trPr>
          <w:trHeight w:val="134"/>
        </w:trPr>
        <w:tc>
          <w:tcPr>
            <w:tcW w:w="831" w:type="dxa"/>
            <w:tcBorders>
              <w:top w:val="single" w:sz="4" w:space="0" w:color="auto"/>
            </w:tcBorders>
            <w:noWrap/>
          </w:tcPr>
          <w:p w14:paraId="4538CBA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H</w:t>
            </w:r>
          </w:p>
        </w:tc>
        <w:tc>
          <w:tcPr>
            <w:tcW w:w="603" w:type="dxa"/>
            <w:tcBorders>
              <w:top w:val="single" w:sz="4" w:space="0" w:color="auto"/>
            </w:tcBorders>
            <w:noWrap/>
          </w:tcPr>
          <w:p w14:paraId="2EEA668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27</w:t>
            </w:r>
          </w:p>
        </w:tc>
        <w:tc>
          <w:tcPr>
            <w:tcW w:w="684" w:type="dxa"/>
            <w:tcBorders>
              <w:top w:val="single" w:sz="4" w:space="0" w:color="auto"/>
            </w:tcBorders>
            <w:noWrap/>
          </w:tcPr>
          <w:p w14:paraId="716BB86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40.3</w:t>
            </w:r>
          </w:p>
        </w:tc>
        <w:tc>
          <w:tcPr>
            <w:tcW w:w="1001" w:type="dxa"/>
            <w:tcBorders>
              <w:top w:val="single" w:sz="4" w:space="0" w:color="auto"/>
            </w:tcBorders>
            <w:noWrap/>
          </w:tcPr>
          <w:p w14:paraId="4C8E618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18 a 19</w:t>
            </w:r>
          </w:p>
        </w:tc>
        <w:tc>
          <w:tcPr>
            <w:tcW w:w="850" w:type="dxa"/>
            <w:gridSpan w:val="2"/>
            <w:tcBorders>
              <w:top w:val="single" w:sz="4" w:space="0" w:color="auto"/>
            </w:tcBorders>
            <w:noWrap/>
          </w:tcPr>
          <w:p w14:paraId="0D4103C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8</w:t>
            </w:r>
          </w:p>
        </w:tc>
        <w:tc>
          <w:tcPr>
            <w:tcW w:w="812" w:type="dxa"/>
            <w:tcBorders>
              <w:top w:val="single" w:sz="4" w:space="0" w:color="auto"/>
            </w:tcBorders>
            <w:noWrap/>
          </w:tcPr>
          <w:p w14:paraId="123A29C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11.9</w:t>
            </w:r>
          </w:p>
        </w:tc>
        <w:tc>
          <w:tcPr>
            <w:tcW w:w="885" w:type="dxa"/>
            <w:tcBorders>
              <w:top w:val="single" w:sz="4" w:space="0" w:color="auto"/>
            </w:tcBorders>
            <w:noWrap/>
          </w:tcPr>
          <w:p w14:paraId="5C60A9C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7.00 a 7.99</w:t>
            </w:r>
          </w:p>
        </w:tc>
        <w:tc>
          <w:tcPr>
            <w:tcW w:w="708" w:type="dxa"/>
            <w:tcBorders>
              <w:top w:val="single" w:sz="4" w:space="0" w:color="auto"/>
            </w:tcBorders>
            <w:noWrap/>
          </w:tcPr>
          <w:p w14:paraId="035D2663"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9</w:t>
            </w:r>
          </w:p>
          <w:p w14:paraId="27964C34" w14:textId="77777777" w:rsidR="000A0580" w:rsidRDefault="000A0580">
            <w:pPr>
              <w:spacing w:after="0" w:line="480" w:lineRule="auto"/>
              <w:jc w:val="center"/>
              <w:rPr>
                <w:rFonts w:ascii="Times New Roman" w:eastAsia="Arial" w:hAnsi="Times New Roman" w:cs="Times New Roman"/>
                <w:sz w:val="24"/>
                <w:szCs w:val="24"/>
                <w:lang w:eastAsia="es-MX"/>
              </w:rPr>
            </w:pPr>
          </w:p>
          <w:p w14:paraId="4BF62F1F"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84" w:type="dxa"/>
            <w:tcBorders>
              <w:top w:val="single" w:sz="4" w:space="0" w:color="auto"/>
            </w:tcBorders>
            <w:noWrap/>
          </w:tcPr>
          <w:p w14:paraId="3E7A95F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13.5</w:t>
            </w:r>
          </w:p>
        </w:tc>
        <w:tc>
          <w:tcPr>
            <w:tcW w:w="972" w:type="dxa"/>
            <w:tcBorders>
              <w:top w:val="single" w:sz="4" w:space="0" w:color="auto"/>
            </w:tcBorders>
            <w:noWrap/>
          </w:tcPr>
          <w:p w14:paraId="7FD93A63"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1ro. a 2do.</w:t>
            </w:r>
          </w:p>
        </w:tc>
        <w:tc>
          <w:tcPr>
            <w:tcW w:w="617" w:type="dxa"/>
            <w:tcBorders>
              <w:top w:val="single" w:sz="4" w:space="0" w:color="auto"/>
            </w:tcBorders>
            <w:noWrap/>
          </w:tcPr>
          <w:p w14:paraId="4BA1F79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w:t>
            </w:r>
          </w:p>
        </w:tc>
        <w:tc>
          <w:tcPr>
            <w:tcW w:w="684" w:type="dxa"/>
            <w:tcBorders>
              <w:top w:val="single" w:sz="4" w:space="0" w:color="auto"/>
            </w:tcBorders>
            <w:noWrap/>
          </w:tcPr>
          <w:p w14:paraId="1FA4B0B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9.0</w:t>
            </w:r>
          </w:p>
        </w:tc>
      </w:tr>
      <w:tr w:rsidR="000A0580" w14:paraId="274AABEA" w14:textId="77777777">
        <w:trPr>
          <w:trHeight w:val="134"/>
        </w:trPr>
        <w:tc>
          <w:tcPr>
            <w:tcW w:w="831" w:type="dxa"/>
            <w:noWrap/>
          </w:tcPr>
          <w:p w14:paraId="42D8501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M</w:t>
            </w:r>
          </w:p>
        </w:tc>
        <w:tc>
          <w:tcPr>
            <w:tcW w:w="603" w:type="dxa"/>
            <w:noWrap/>
          </w:tcPr>
          <w:p w14:paraId="7F85C50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40</w:t>
            </w:r>
          </w:p>
        </w:tc>
        <w:tc>
          <w:tcPr>
            <w:tcW w:w="684" w:type="dxa"/>
            <w:noWrap/>
          </w:tcPr>
          <w:p w14:paraId="49E426E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59.7</w:t>
            </w:r>
          </w:p>
        </w:tc>
        <w:tc>
          <w:tcPr>
            <w:tcW w:w="1001" w:type="dxa"/>
            <w:noWrap/>
          </w:tcPr>
          <w:p w14:paraId="50B5873E"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20 a 21</w:t>
            </w:r>
          </w:p>
        </w:tc>
        <w:tc>
          <w:tcPr>
            <w:tcW w:w="850" w:type="dxa"/>
            <w:gridSpan w:val="2"/>
            <w:noWrap/>
          </w:tcPr>
          <w:p w14:paraId="5F12441E"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11</w:t>
            </w:r>
          </w:p>
        </w:tc>
        <w:tc>
          <w:tcPr>
            <w:tcW w:w="812" w:type="dxa"/>
            <w:noWrap/>
          </w:tcPr>
          <w:p w14:paraId="5ACC10A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16.4</w:t>
            </w:r>
          </w:p>
        </w:tc>
        <w:tc>
          <w:tcPr>
            <w:tcW w:w="885" w:type="dxa"/>
            <w:noWrap/>
          </w:tcPr>
          <w:p w14:paraId="61A6F99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8.00 a 8.99</w:t>
            </w:r>
          </w:p>
        </w:tc>
        <w:tc>
          <w:tcPr>
            <w:tcW w:w="708" w:type="dxa"/>
            <w:noWrap/>
          </w:tcPr>
          <w:p w14:paraId="5DC2989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36</w:t>
            </w:r>
          </w:p>
        </w:tc>
        <w:tc>
          <w:tcPr>
            <w:tcW w:w="684" w:type="dxa"/>
            <w:noWrap/>
          </w:tcPr>
          <w:p w14:paraId="0D646DD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53.7</w:t>
            </w:r>
          </w:p>
        </w:tc>
        <w:tc>
          <w:tcPr>
            <w:tcW w:w="972" w:type="dxa"/>
            <w:noWrap/>
          </w:tcPr>
          <w:p w14:paraId="60D67F2F"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3ro. a 4to.</w:t>
            </w:r>
          </w:p>
        </w:tc>
        <w:tc>
          <w:tcPr>
            <w:tcW w:w="617" w:type="dxa"/>
            <w:noWrap/>
          </w:tcPr>
          <w:p w14:paraId="1FDA231D"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w:t>
            </w:r>
          </w:p>
        </w:tc>
        <w:tc>
          <w:tcPr>
            <w:tcW w:w="684" w:type="dxa"/>
            <w:noWrap/>
          </w:tcPr>
          <w:p w14:paraId="0E81DEBD"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4.5</w:t>
            </w:r>
          </w:p>
        </w:tc>
      </w:tr>
      <w:tr w:rsidR="000A0580" w14:paraId="71F63578" w14:textId="77777777">
        <w:trPr>
          <w:trHeight w:val="134"/>
        </w:trPr>
        <w:tc>
          <w:tcPr>
            <w:tcW w:w="831" w:type="dxa"/>
            <w:noWrap/>
          </w:tcPr>
          <w:p w14:paraId="76B1ECC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Total</w:t>
            </w:r>
          </w:p>
        </w:tc>
        <w:tc>
          <w:tcPr>
            <w:tcW w:w="603" w:type="dxa"/>
            <w:noWrap/>
          </w:tcPr>
          <w:p w14:paraId="22D54DA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684" w:type="dxa"/>
            <w:noWrap/>
          </w:tcPr>
          <w:p w14:paraId="6C11FFA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100</w:t>
            </w:r>
          </w:p>
        </w:tc>
        <w:tc>
          <w:tcPr>
            <w:tcW w:w="1001" w:type="dxa"/>
            <w:noWrap/>
          </w:tcPr>
          <w:p w14:paraId="098A662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22 a 23</w:t>
            </w:r>
          </w:p>
        </w:tc>
        <w:tc>
          <w:tcPr>
            <w:tcW w:w="850" w:type="dxa"/>
            <w:gridSpan w:val="2"/>
            <w:noWrap/>
          </w:tcPr>
          <w:p w14:paraId="1D7E3CB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40</w:t>
            </w:r>
          </w:p>
        </w:tc>
        <w:tc>
          <w:tcPr>
            <w:tcW w:w="812" w:type="dxa"/>
            <w:noWrap/>
          </w:tcPr>
          <w:p w14:paraId="0EEB073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59.7</w:t>
            </w:r>
          </w:p>
        </w:tc>
        <w:tc>
          <w:tcPr>
            <w:tcW w:w="885" w:type="dxa"/>
            <w:noWrap/>
          </w:tcPr>
          <w:p w14:paraId="6980128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9.00 a 9.99</w:t>
            </w:r>
          </w:p>
        </w:tc>
        <w:tc>
          <w:tcPr>
            <w:tcW w:w="708" w:type="dxa"/>
            <w:noWrap/>
          </w:tcPr>
          <w:p w14:paraId="7152DD0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22</w:t>
            </w:r>
          </w:p>
        </w:tc>
        <w:tc>
          <w:tcPr>
            <w:tcW w:w="684" w:type="dxa"/>
            <w:noWrap/>
          </w:tcPr>
          <w:p w14:paraId="12F6C45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32.8</w:t>
            </w:r>
          </w:p>
        </w:tc>
        <w:tc>
          <w:tcPr>
            <w:tcW w:w="972" w:type="dxa"/>
            <w:noWrap/>
          </w:tcPr>
          <w:p w14:paraId="1FD71340"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5to a 6to</w:t>
            </w:r>
          </w:p>
        </w:tc>
        <w:tc>
          <w:tcPr>
            <w:tcW w:w="617" w:type="dxa"/>
            <w:noWrap/>
          </w:tcPr>
          <w:p w14:paraId="190A495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7</w:t>
            </w:r>
          </w:p>
        </w:tc>
        <w:tc>
          <w:tcPr>
            <w:tcW w:w="684" w:type="dxa"/>
            <w:noWrap/>
          </w:tcPr>
          <w:p w14:paraId="3AABF58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10.4</w:t>
            </w:r>
          </w:p>
        </w:tc>
      </w:tr>
      <w:tr w:rsidR="000A0580" w14:paraId="01652918" w14:textId="77777777">
        <w:trPr>
          <w:trHeight w:val="134"/>
        </w:trPr>
        <w:tc>
          <w:tcPr>
            <w:tcW w:w="831" w:type="dxa"/>
            <w:noWrap/>
          </w:tcPr>
          <w:p w14:paraId="0D6E341C"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03" w:type="dxa"/>
            <w:noWrap/>
          </w:tcPr>
          <w:p w14:paraId="57D1BEDB"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84" w:type="dxa"/>
            <w:noWrap/>
          </w:tcPr>
          <w:p w14:paraId="2493C99A"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1308" w:type="dxa"/>
            <w:gridSpan w:val="2"/>
            <w:noWrap/>
          </w:tcPr>
          <w:p w14:paraId="54A9DDF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24 a más años</w:t>
            </w:r>
          </w:p>
        </w:tc>
        <w:tc>
          <w:tcPr>
            <w:tcW w:w="543" w:type="dxa"/>
            <w:noWrap/>
          </w:tcPr>
          <w:p w14:paraId="13B4BEA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8</w:t>
            </w:r>
          </w:p>
        </w:tc>
        <w:tc>
          <w:tcPr>
            <w:tcW w:w="812" w:type="dxa"/>
            <w:noWrap/>
          </w:tcPr>
          <w:p w14:paraId="1802941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12.0</w:t>
            </w:r>
          </w:p>
        </w:tc>
        <w:tc>
          <w:tcPr>
            <w:tcW w:w="885" w:type="dxa"/>
            <w:noWrap/>
          </w:tcPr>
          <w:p w14:paraId="35F7E92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Total</w:t>
            </w:r>
          </w:p>
        </w:tc>
        <w:tc>
          <w:tcPr>
            <w:tcW w:w="708" w:type="dxa"/>
            <w:noWrap/>
          </w:tcPr>
          <w:p w14:paraId="02B8833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684" w:type="dxa"/>
            <w:noWrap/>
          </w:tcPr>
          <w:p w14:paraId="7B8EAD1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100</w:t>
            </w:r>
          </w:p>
        </w:tc>
        <w:tc>
          <w:tcPr>
            <w:tcW w:w="972" w:type="dxa"/>
            <w:noWrap/>
          </w:tcPr>
          <w:p w14:paraId="2B9362F0"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7mo a 8vo</w:t>
            </w:r>
          </w:p>
        </w:tc>
        <w:tc>
          <w:tcPr>
            <w:tcW w:w="617" w:type="dxa"/>
            <w:noWrap/>
          </w:tcPr>
          <w:p w14:paraId="50476D4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w:t>
            </w:r>
          </w:p>
        </w:tc>
        <w:tc>
          <w:tcPr>
            <w:tcW w:w="684" w:type="dxa"/>
            <w:noWrap/>
          </w:tcPr>
          <w:p w14:paraId="5F37F95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14.9</w:t>
            </w:r>
          </w:p>
        </w:tc>
      </w:tr>
      <w:tr w:rsidR="000A0580" w14:paraId="069B4206" w14:textId="77777777">
        <w:trPr>
          <w:trHeight w:val="134"/>
        </w:trPr>
        <w:tc>
          <w:tcPr>
            <w:tcW w:w="831" w:type="dxa"/>
            <w:noWrap/>
          </w:tcPr>
          <w:p w14:paraId="20E630D2"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03" w:type="dxa"/>
            <w:noWrap/>
          </w:tcPr>
          <w:p w14:paraId="39EBBD7C"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84" w:type="dxa"/>
            <w:noWrap/>
          </w:tcPr>
          <w:p w14:paraId="23D1112F"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1308" w:type="dxa"/>
            <w:gridSpan w:val="2"/>
            <w:noWrap/>
          </w:tcPr>
          <w:p w14:paraId="268CECC0"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Total</w:t>
            </w:r>
          </w:p>
        </w:tc>
        <w:tc>
          <w:tcPr>
            <w:tcW w:w="543" w:type="dxa"/>
            <w:noWrap/>
          </w:tcPr>
          <w:p w14:paraId="07634FD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812" w:type="dxa"/>
            <w:noWrap/>
          </w:tcPr>
          <w:p w14:paraId="07FA35D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100</w:t>
            </w:r>
          </w:p>
        </w:tc>
        <w:tc>
          <w:tcPr>
            <w:tcW w:w="885" w:type="dxa"/>
            <w:noWrap/>
          </w:tcPr>
          <w:p w14:paraId="24F0009A"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708" w:type="dxa"/>
            <w:noWrap/>
          </w:tcPr>
          <w:p w14:paraId="2653CDB8"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84" w:type="dxa"/>
            <w:noWrap/>
          </w:tcPr>
          <w:p w14:paraId="7807C10A"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972" w:type="dxa"/>
            <w:noWrap/>
          </w:tcPr>
          <w:p w14:paraId="5C859B7C"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 9no a 10mo</w:t>
            </w:r>
          </w:p>
        </w:tc>
        <w:tc>
          <w:tcPr>
            <w:tcW w:w="617" w:type="dxa"/>
            <w:noWrap/>
          </w:tcPr>
          <w:p w14:paraId="0CAAD1D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41</w:t>
            </w:r>
          </w:p>
        </w:tc>
        <w:tc>
          <w:tcPr>
            <w:tcW w:w="684" w:type="dxa"/>
            <w:noWrap/>
          </w:tcPr>
          <w:p w14:paraId="10401CBD"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61.2</w:t>
            </w:r>
          </w:p>
        </w:tc>
      </w:tr>
      <w:tr w:rsidR="000A0580" w14:paraId="520FD499" w14:textId="77777777">
        <w:trPr>
          <w:trHeight w:val="134"/>
        </w:trPr>
        <w:tc>
          <w:tcPr>
            <w:tcW w:w="831" w:type="dxa"/>
            <w:tcBorders>
              <w:bottom w:val="single" w:sz="4" w:space="0" w:color="auto"/>
            </w:tcBorders>
            <w:noWrap/>
          </w:tcPr>
          <w:p w14:paraId="0D409EF9"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03" w:type="dxa"/>
            <w:tcBorders>
              <w:bottom w:val="single" w:sz="4" w:space="0" w:color="auto"/>
            </w:tcBorders>
            <w:noWrap/>
          </w:tcPr>
          <w:p w14:paraId="031F722E"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84" w:type="dxa"/>
            <w:tcBorders>
              <w:bottom w:val="single" w:sz="4" w:space="0" w:color="auto"/>
            </w:tcBorders>
            <w:noWrap/>
          </w:tcPr>
          <w:p w14:paraId="686BF945"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1308" w:type="dxa"/>
            <w:gridSpan w:val="2"/>
            <w:tcBorders>
              <w:bottom w:val="single" w:sz="4" w:space="0" w:color="auto"/>
            </w:tcBorders>
            <w:noWrap/>
          </w:tcPr>
          <w:p w14:paraId="1146AC81"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543" w:type="dxa"/>
            <w:tcBorders>
              <w:bottom w:val="single" w:sz="4" w:space="0" w:color="auto"/>
            </w:tcBorders>
            <w:noWrap/>
          </w:tcPr>
          <w:p w14:paraId="5F549293"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812" w:type="dxa"/>
            <w:tcBorders>
              <w:bottom w:val="single" w:sz="4" w:space="0" w:color="auto"/>
            </w:tcBorders>
            <w:noWrap/>
          </w:tcPr>
          <w:p w14:paraId="4A87F6B4"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885" w:type="dxa"/>
            <w:tcBorders>
              <w:bottom w:val="single" w:sz="4" w:space="0" w:color="auto"/>
            </w:tcBorders>
            <w:noWrap/>
          </w:tcPr>
          <w:p w14:paraId="5D104768"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708" w:type="dxa"/>
            <w:tcBorders>
              <w:bottom w:val="single" w:sz="4" w:space="0" w:color="auto"/>
            </w:tcBorders>
            <w:noWrap/>
          </w:tcPr>
          <w:p w14:paraId="54904FD3"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684" w:type="dxa"/>
            <w:tcBorders>
              <w:bottom w:val="single" w:sz="4" w:space="0" w:color="auto"/>
            </w:tcBorders>
            <w:noWrap/>
          </w:tcPr>
          <w:p w14:paraId="3F5332D6" w14:textId="77777777" w:rsidR="000A0580" w:rsidRDefault="000A0580">
            <w:pPr>
              <w:spacing w:after="0" w:line="480" w:lineRule="auto"/>
              <w:jc w:val="center"/>
              <w:rPr>
                <w:rFonts w:ascii="Times New Roman" w:eastAsia="Arial" w:hAnsi="Times New Roman" w:cs="Times New Roman"/>
                <w:sz w:val="24"/>
                <w:szCs w:val="24"/>
                <w:lang w:eastAsia="es-MX"/>
              </w:rPr>
            </w:pPr>
          </w:p>
        </w:tc>
        <w:tc>
          <w:tcPr>
            <w:tcW w:w="972" w:type="dxa"/>
            <w:tcBorders>
              <w:bottom w:val="single" w:sz="4" w:space="0" w:color="auto"/>
            </w:tcBorders>
            <w:noWrap/>
          </w:tcPr>
          <w:p w14:paraId="75D205C5"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Total</w:t>
            </w:r>
          </w:p>
        </w:tc>
        <w:tc>
          <w:tcPr>
            <w:tcW w:w="617" w:type="dxa"/>
            <w:tcBorders>
              <w:bottom w:val="single" w:sz="4" w:space="0" w:color="auto"/>
            </w:tcBorders>
            <w:noWrap/>
          </w:tcPr>
          <w:p w14:paraId="1534421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684" w:type="dxa"/>
            <w:tcBorders>
              <w:bottom w:val="single" w:sz="4" w:space="0" w:color="auto"/>
            </w:tcBorders>
            <w:noWrap/>
          </w:tcPr>
          <w:p w14:paraId="10D83903"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100</w:t>
            </w:r>
          </w:p>
        </w:tc>
      </w:tr>
    </w:tbl>
    <w:bookmarkEnd w:id="2"/>
    <w:p w14:paraId="445BC760" w14:textId="77777777" w:rsidR="000A0580" w:rsidRDefault="00A9180F">
      <w:pPr>
        <w:spacing w:after="0"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Fuente: elaboración propia</w:t>
      </w:r>
    </w:p>
    <w:p w14:paraId="0FFC86E5" w14:textId="77777777" w:rsidR="000A0580" w:rsidRDefault="00A9180F">
      <w:pPr>
        <w:spacing w:after="0"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Nota: GE=Género. H= Hombres. M =Mujeres. N=número. ED= Edad. %=Porcentaje. PR=Promedio. SE=Semestre. </w:t>
      </w:r>
    </w:p>
    <w:p w14:paraId="65CFAA93" w14:textId="77777777" w:rsidR="000A0580" w:rsidRDefault="000A0580">
      <w:pPr>
        <w:spacing w:line="480" w:lineRule="auto"/>
        <w:jc w:val="both"/>
        <w:rPr>
          <w:rFonts w:ascii="Times New Roman" w:hAnsi="Times New Roman" w:cs="Times New Roman"/>
          <w:sz w:val="24"/>
          <w:szCs w:val="24"/>
        </w:rPr>
      </w:pPr>
      <w:bookmarkStart w:id="4" w:name="_Hlk175921085"/>
      <w:bookmarkStart w:id="5" w:name="_Hlk175921069"/>
      <w:bookmarkEnd w:id="1"/>
      <w:bookmarkEnd w:id="3"/>
    </w:p>
    <w:p w14:paraId="6ACFA9C2"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Instrumento de investigación.</w:t>
      </w:r>
    </w:p>
    <w:p w14:paraId="3BB067F2" w14:textId="77777777" w:rsidR="000A0580" w:rsidRDefault="00A9180F">
      <w:pPr>
        <w:spacing w:line="480" w:lineRule="auto"/>
        <w:jc w:val="both"/>
        <w:rPr>
          <w:rFonts w:ascii="Times New Roman" w:hAnsi="Times New Roman" w:cs="Times New Roman"/>
          <w:sz w:val="24"/>
          <w:szCs w:val="24"/>
        </w:rPr>
      </w:pPr>
      <w:bookmarkStart w:id="6" w:name="_Hlk175921103"/>
      <w:bookmarkEnd w:id="4"/>
      <w:r>
        <w:rPr>
          <w:rFonts w:ascii="Times New Roman" w:hAnsi="Times New Roman" w:cs="Times New Roman"/>
          <w:sz w:val="24"/>
          <w:szCs w:val="24"/>
        </w:rPr>
        <w:t>La presente investigación tomó como punto de partida el cuestionario diseñado por López, Deniz y Santa Ana (2024), el cual se estructura en dos apartados principales. La primera sección está orientada a recopilar información sociodemográfica de los participantes, considerando aspectos básicos como la edad y el género, así como algunos datos académicos relevantes para el análisis, entre ellos el semestre que cursan, el programa educativo en el que están inscritos y el promedio general reportado al momento de</w:t>
      </w:r>
      <w:r>
        <w:rPr>
          <w:rFonts w:ascii="Times New Roman" w:hAnsi="Times New Roman" w:cs="Times New Roman"/>
          <w:sz w:val="24"/>
          <w:szCs w:val="24"/>
        </w:rPr>
        <w:t xml:space="preserve"> contestar la encuesta.</w:t>
      </w:r>
    </w:p>
    <w:p w14:paraId="79907B1D"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La utilización de este cuestionario se respalda en el hecho de que ya fue empleado y comprobado en investigaciones previas sobre el efecto de las Tecnologías de la Información y la Comunicación (TIC) en la educación superior, específicamente con estudiantes universitarios. Gracias a ello, se asegura que el instrumento cuenta con fiabilidad y pertinencia, lo que permite que las preguntas estén en coherencia con los objetivos del presente trabajo, centrados en analizar cómo influyen las redes sociales en el p</w:t>
      </w:r>
      <w:r>
        <w:rPr>
          <w:rFonts w:ascii="Times New Roman" w:hAnsi="Times New Roman" w:cs="Times New Roman"/>
          <w:sz w:val="24"/>
          <w:szCs w:val="24"/>
        </w:rPr>
        <w:t xml:space="preserve">roceso de aprendizaje de los estudiantes de la Licenciatura en Mercadotecnia de una Universidad Pública del Estado de Tabasco. </w:t>
      </w:r>
    </w:p>
    <w:bookmarkEnd w:id="5"/>
    <w:bookmarkEnd w:id="6"/>
    <w:p w14:paraId="36CFFD53"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segunda sección del cuestionario adaptado de </w:t>
      </w:r>
      <w:bookmarkStart w:id="7" w:name="_Hlk207901377"/>
      <w:r>
        <w:rPr>
          <w:rFonts w:ascii="Times New Roman" w:hAnsi="Times New Roman" w:cs="Times New Roman"/>
          <w:sz w:val="24"/>
          <w:szCs w:val="24"/>
        </w:rPr>
        <w:t xml:space="preserve">López, Deniz y Santa Ana (2024), </w:t>
      </w:r>
      <w:bookmarkEnd w:id="7"/>
      <w:r>
        <w:rPr>
          <w:rFonts w:ascii="Times New Roman" w:hAnsi="Times New Roman" w:cs="Times New Roman"/>
          <w:sz w:val="24"/>
          <w:szCs w:val="24"/>
        </w:rPr>
        <w:t>se integró por 11 ítems que se organizaron en tres dimensiones principales con el fin de evaluar de manera más clara el constructo "uso de redes sociales en el proceso de aprendizaje". Dichas dimensiones son: Comunicación académica (ítems P2, P3, P4, P5 y P8), Colaboración y trabajo en equipo (ítems P6, P7 y P9) e Integración institucional y apoyo al aprendizaje (ítems P1, P10 y P11). Cada enunciado se respondió mediante una escala tipo Likert con cuatro categorías de frecue</w:t>
      </w:r>
      <w:r>
        <w:rPr>
          <w:rFonts w:ascii="Times New Roman" w:hAnsi="Times New Roman" w:cs="Times New Roman"/>
          <w:sz w:val="24"/>
          <w:szCs w:val="24"/>
        </w:rPr>
        <w:t>ncia: Nunca (1), Algunas veces (2), Casi siempre (3) y Siempre (4), lo que permite medir la regularidad con la que los estudiantes emplean las redes sociales en sus actividades académicas (ver Tabla 3).</w:t>
      </w:r>
    </w:p>
    <w:p w14:paraId="6436214E" w14:textId="77777777" w:rsidR="000A0580" w:rsidRDefault="00A9180F">
      <w:pPr>
        <w:spacing w:line="480" w:lineRule="auto"/>
        <w:jc w:val="both"/>
        <w:rPr>
          <w:rFonts w:ascii="Times New Roman" w:hAnsi="Times New Roman" w:cs="Times New Roman"/>
          <w:b/>
          <w:bCs/>
          <w:sz w:val="24"/>
          <w:szCs w:val="24"/>
        </w:rPr>
      </w:pPr>
      <w:bookmarkStart w:id="8" w:name="_Hlk175921365"/>
      <w:r>
        <w:rPr>
          <w:rFonts w:ascii="Times New Roman" w:hAnsi="Times New Roman" w:cs="Times New Roman"/>
          <w:b/>
          <w:bCs/>
          <w:sz w:val="24"/>
          <w:szCs w:val="24"/>
        </w:rPr>
        <w:t>Tabla 3</w:t>
      </w:r>
    </w:p>
    <w:p w14:paraId="0BA8AA78" w14:textId="77777777" w:rsidR="000A0580" w:rsidRDefault="00A9180F">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Definición del constructo uso de redes sociales en el proceso de aprendizaje.  </w:t>
      </w:r>
    </w:p>
    <w:tbl>
      <w:tblPr>
        <w:tblW w:w="9145" w:type="dxa"/>
        <w:jc w:val="center"/>
        <w:tblLook w:val="04A0" w:firstRow="1" w:lastRow="0" w:firstColumn="1" w:lastColumn="0" w:noHBand="0" w:noVBand="1"/>
      </w:tblPr>
      <w:tblGrid>
        <w:gridCol w:w="2204"/>
        <w:gridCol w:w="2049"/>
        <w:gridCol w:w="4892"/>
      </w:tblGrid>
      <w:tr w:rsidR="000A0580" w14:paraId="595A043B" w14:textId="77777777">
        <w:trPr>
          <w:trHeight w:val="473"/>
          <w:jc w:val="center"/>
        </w:trPr>
        <w:tc>
          <w:tcPr>
            <w:tcW w:w="2204" w:type="dxa"/>
            <w:tcBorders>
              <w:top w:val="single" w:sz="4" w:space="0" w:color="auto"/>
              <w:bottom w:val="single" w:sz="4" w:space="0" w:color="auto"/>
            </w:tcBorders>
            <w:vAlign w:val="center"/>
          </w:tcPr>
          <w:p w14:paraId="60A07E1B" w14:textId="77777777" w:rsidR="000A0580" w:rsidRDefault="00A9180F">
            <w:pPr>
              <w:spacing w:line="480" w:lineRule="auto"/>
              <w:jc w:val="both"/>
              <w:rPr>
                <w:rFonts w:ascii="Times New Roman" w:hAnsi="Times New Roman" w:cs="Times New Roman"/>
                <w:b/>
                <w:sz w:val="24"/>
                <w:szCs w:val="24"/>
              </w:rPr>
            </w:pPr>
            <w:bookmarkStart w:id="9" w:name="_Hlk175921383"/>
            <w:bookmarkEnd w:id="8"/>
            <w:r>
              <w:rPr>
                <w:rFonts w:ascii="Times New Roman" w:hAnsi="Times New Roman" w:cs="Times New Roman"/>
                <w:b/>
                <w:sz w:val="24"/>
                <w:szCs w:val="24"/>
              </w:rPr>
              <w:t>Variable</w:t>
            </w:r>
          </w:p>
        </w:tc>
        <w:tc>
          <w:tcPr>
            <w:tcW w:w="2049" w:type="dxa"/>
            <w:tcBorders>
              <w:top w:val="single" w:sz="4" w:space="0" w:color="auto"/>
              <w:bottom w:val="single" w:sz="4" w:space="0" w:color="auto"/>
            </w:tcBorders>
            <w:vAlign w:val="center"/>
          </w:tcPr>
          <w:p w14:paraId="0812BAB6" w14:textId="77777777" w:rsidR="000A0580" w:rsidRDefault="00A9180F">
            <w:pPr>
              <w:spacing w:line="480" w:lineRule="auto"/>
              <w:jc w:val="both"/>
              <w:rPr>
                <w:rFonts w:ascii="Times New Roman" w:hAnsi="Times New Roman" w:cs="Times New Roman"/>
                <w:b/>
                <w:sz w:val="24"/>
                <w:szCs w:val="24"/>
              </w:rPr>
            </w:pPr>
            <w:r>
              <w:rPr>
                <w:rFonts w:ascii="Times New Roman" w:hAnsi="Times New Roman" w:cs="Times New Roman"/>
                <w:b/>
                <w:sz w:val="24"/>
                <w:szCs w:val="24"/>
              </w:rPr>
              <w:t>Dimensión</w:t>
            </w:r>
          </w:p>
        </w:tc>
        <w:tc>
          <w:tcPr>
            <w:tcW w:w="4892" w:type="dxa"/>
            <w:tcBorders>
              <w:top w:val="single" w:sz="4" w:space="0" w:color="auto"/>
              <w:bottom w:val="single" w:sz="4" w:space="0" w:color="auto"/>
            </w:tcBorders>
            <w:vAlign w:val="center"/>
          </w:tcPr>
          <w:p w14:paraId="519196FB" w14:textId="77777777" w:rsidR="000A0580" w:rsidRDefault="00A9180F">
            <w:pPr>
              <w:spacing w:line="480" w:lineRule="auto"/>
              <w:jc w:val="both"/>
              <w:rPr>
                <w:rFonts w:ascii="Times New Roman" w:hAnsi="Times New Roman" w:cs="Times New Roman"/>
                <w:b/>
                <w:sz w:val="24"/>
                <w:szCs w:val="24"/>
              </w:rPr>
            </w:pPr>
            <w:r>
              <w:rPr>
                <w:rFonts w:ascii="Times New Roman" w:hAnsi="Times New Roman" w:cs="Times New Roman"/>
                <w:b/>
                <w:sz w:val="24"/>
                <w:szCs w:val="24"/>
              </w:rPr>
              <w:t>Definición</w:t>
            </w:r>
          </w:p>
        </w:tc>
      </w:tr>
      <w:tr w:rsidR="000A0580" w14:paraId="411B2628" w14:textId="77777777">
        <w:trPr>
          <w:trHeight w:val="717"/>
          <w:jc w:val="center"/>
        </w:trPr>
        <w:tc>
          <w:tcPr>
            <w:tcW w:w="2204" w:type="dxa"/>
            <w:vMerge w:val="restart"/>
            <w:tcBorders>
              <w:top w:val="single" w:sz="4" w:space="0" w:color="auto"/>
              <w:bottom w:val="single" w:sz="4" w:space="0" w:color="auto"/>
            </w:tcBorders>
            <w:vAlign w:val="center"/>
          </w:tcPr>
          <w:p w14:paraId="6D613E99" w14:textId="77777777" w:rsidR="000A0580" w:rsidRDefault="000A0580">
            <w:pPr>
              <w:spacing w:line="480" w:lineRule="auto"/>
              <w:jc w:val="both"/>
              <w:rPr>
                <w:rFonts w:ascii="Times New Roman" w:hAnsi="Times New Roman" w:cs="Times New Roman"/>
                <w:bCs/>
                <w:sz w:val="24"/>
                <w:szCs w:val="24"/>
              </w:rPr>
            </w:pPr>
          </w:p>
          <w:p w14:paraId="46AB5464" w14:textId="77777777" w:rsidR="000A0580" w:rsidRDefault="00A9180F">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Uso de redes sociales en el proceso de aprendizaje</w:t>
            </w:r>
          </w:p>
          <w:p w14:paraId="35D14DE1" w14:textId="77777777" w:rsidR="000A0580" w:rsidRDefault="000A0580">
            <w:pPr>
              <w:spacing w:line="480" w:lineRule="auto"/>
              <w:jc w:val="both"/>
              <w:rPr>
                <w:rFonts w:ascii="Times New Roman" w:hAnsi="Times New Roman" w:cs="Times New Roman"/>
                <w:bCs/>
                <w:sz w:val="24"/>
                <w:szCs w:val="24"/>
              </w:rPr>
            </w:pPr>
          </w:p>
          <w:p w14:paraId="39A58A81" w14:textId="77777777" w:rsidR="000A0580" w:rsidRDefault="000A0580">
            <w:pPr>
              <w:spacing w:line="480" w:lineRule="auto"/>
              <w:jc w:val="both"/>
              <w:rPr>
                <w:rFonts w:ascii="Times New Roman" w:hAnsi="Times New Roman" w:cs="Times New Roman"/>
                <w:bCs/>
                <w:sz w:val="24"/>
                <w:szCs w:val="24"/>
              </w:rPr>
            </w:pPr>
          </w:p>
        </w:tc>
        <w:tc>
          <w:tcPr>
            <w:tcW w:w="2049" w:type="dxa"/>
            <w:tcBorders>
              <w:top w:val="single" w:sz="4" w:space="0" w:color="auto"/>
            </w:tcBorders>
            <w:vAlign w:val="center"/>
          </w:tcPr>
          <w:p w14:paraId="1EBF4192" w14:textId="77777777" w:rsidR="000A0580" w:rsidRDefault="00A9180F">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Comunicación académica</w:t>
            </w:r>
          </w:p>
          <w:p w14:paraId="2A433530" w14:textId="77777777" w:rsidR="000A0580" w:rsidRDefault="00A9180F">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(ítems P2, P3, P4, P5 y P8),</w:t>
            </w:r>
          </w:p>
        </w:tc>
        <w:tc>
          <w:tcPr>
            <w:tcW w:w="4892" w:type="dxa"/>
            <w:tcBorders>
              <w:top w:val="single" w:sz="4" w:space="0" w:color="auto"/>
            </w:tcBorders>
            <w:vAlign w:val="center"/>
          </w:tcPr>
          <w:p w14:paraId="6F5C4049" w14:textId="77777777" w:rsidR="000A0580" w:rsidRDefault="00A9180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Se refiere al grado en que los estudiantes utilizan las redes sociales para recibir información, aclarar dudas y mantener contacto con docentes y compañeros en actividades escolares.</w:t>
            </w:r>
          </w:p>
        </w:tc>
      </w:tr>
      <w:tr w:rsidR="000A0580" w14:paraId="5D2AE5B4" w14:textId="77777777">
        <w:trPr>
          <w:trHeight w:val="868"/>
          <w:jc w:val="center"/>
        </w:trPr>
        <w:tc>
          <w:tcPr>
            <w:tcW w:w="2204" w:type="dxa"/>
            <w:vMerge/>
            <w:tcBorders>
              <w:bottom w:val="single" w:sz="4" w:space="0" w:color="auto"/>
            </w:tcBorders>
            <w:vAlign w:val="center"/>
          </w:tcPr>
          <w:p w14:paraId="4993AD1D" w14:textId="77777777" w:rsidR="000A0580" w:rsidRDefault="000A0580">
            <w:pPr>
              <w:spacing w:line="480" w:lineRule="auto"/>
              <w:jc w:val="both"/>
              <w:rPr>
                <w:rFonts w:ascii="Times New Roman" w:hAnsi="Times New Roman" w:cs="Times New Roman"/>
                <w:bCs/>
                <w:sz w:val="24"/>
                <w:szCs w:val="24"/>
              </w:rPr>
            </w:pPr>
          </w:p>
        </w:tc>
        <w:tc>
          <w:tcPr>
            <w:tcW w:w="2049" w:type="dxa"/>
            <w:vAlign w:val="center"/>
          </w:tcPr>
          <w:p w14:paraId="4165108B" w14:textId="77777777" w:rsidR="000A0580" w:rsidRDefault="00A9180F">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Colaboración y trabajo en equipo (ítems P6, P7 y P9)</w:t>
            </w:r>
          </w:p>
        </w:tc>
        <w:tc>
          <w:tcPr>
            <w:tcW w:w="4892" w:type="dxa"/>
            <w:vAlign w:val="center"/>
          </w:tcPr>
          <w:p w14:paraId="5D388A9F" w14:textId="77777777" w:rsidR="000A0580" w:rsidRDefault="00A9180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Evalúa la frecuencia con la que los alumnos emplean redes sociales para coordinar tareas, compartir materiales y realizar actividades colectivas de aprendizaje.</w:t>
            </w:r>
          </w:p>
        </w:tc>
      </w:tr>
      <w:tr w:rsidR="000A0580" w14:paraId="30F657FA" w14:textId="77777777">
        <w:trPr>
          <w:trHeight w:val="38"/>
          <w:jc w:val="center"/>
        </w:trPr>
        <w:tc>
          <w:tcPr>
            <w:tcW w:w="2204" w:type="dxa"/>
            <w:vMerge/>
            <w:tcBorders>
              <w:bottom w:val="single" w:sz="4" w:space="0" w:color="auto"/>
            </w:tcBorders>
            <w:vAlign w:val="center"/>
          </w:tcPr>
          <w:p w14:paraId="51BB1277" w14:textId="77777777" w:rsidR="000A0580" w:rsidRDefault="000A0580">
            <w:pPr>
              <w:spacing w:line="480" w:lineRule="auto"/>
              <w:jc w:val="both"/>
              <w:rPr>
                <w:rFonts w:ascii="Times New Roman" w:hAnsi="Times New Roman" w:cs="Times New Roman"/>
                <w:bCs/>
                <w:sz w:val="24"/>
                <w:szCs w:val="24"/>
              </w:rPr>
            </w:pPr>
          </w:p>
        </w:tc>
        <w:tc>
          <w:tcPr>
            <w:tcW w:w="2049" w:type="dxa"/>
            <w:tcBorders>
              <w:bottom w:val="single" w:sz="4" w:space="0" w:color="auto"/>
            </w:tcBorders>
            <w:vAlign w:val="center"/>
          </w:tcPr>
          <w:p w14:paraId="10C04489" w14:textId="77777777" w:rsidR="000A0580" w:rsidRDefault="00A9180F">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Integración institucional y apoyo al aprendizaje</w:t>
            </w:r>
          </w:p>
          <w:p w14:paraId="3B12056D" w14:textId="77777777" w:rsidR="000A0580" w:rsidRDefault="00A9180F">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(ítems P1, P10 y P11).</w:t>
            </w:r>
          </w:p>
        </w:tc>
        <w:tc>
          <w:tcPr>
            <w:tcW w:w="4892" w:type="dxa"/>
            <w:tcBorders>
              <w:bottom w:val="single" w:sz="4" w:space="0" w:color="auto"/>
            </w:tcBorders>
            <w:vAlign w:val="center"/>
          </w:tcPr>
          <w:p w14:paraId="3D66EF47" w14:textId="77777777" w:rsidR="000A0580" w:rsidRDefault="00A9180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Mide la percepción de los estudiantes sobre el uso de redes sociales como recurso formal promovido por la universidad y los docentes para fortalecer su proceso de aprendizaje.</w:t>
            </w:r>
          </w:p>
        </w:tc>
      </w:tr>
    </w:tbl>
    <w:p w14:paraId="7599DBD9" w14:textId="77777777" w:rsidR="000A0580" w:rsidRDefault="00A9180F">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Fuente: elaboración propia con base en López, Deniz y Santa Ana (2024),</w:t>
      </w:r>
    </w:p>
    <w:bookmarkEnd w:id="9"/>
    <w:p w14:paraId="2A93FF5B"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En lo que respecta a la confiabilidad del instrumento, este fue aplicado a la muestra de estudiantes de la Licenciatura en Mercadotecnia (N=67), obteniendo un coeficiente de alfa de Cronbach de .880. Dicho valor se reconoce como adecuado dentro de las investigaciones educativas, pues refleja un nivel alto de consistencia interna entre los ítems que lo integran. Tal como señalan Oviedo y Campo (2005), un alfa superior a .70 resulta aceptable para garantizar la validez y estabilidad de los datos, lo que confi</w:t>
      </w:r>
      <w:r>
        <w:rPr>
          <w:rFonts w:ascii="Times New Roman" w:hAnsi="Times New Roman" w:cs="Times New Roman"/>
          <w:sz w:val="24"/>
          <w:szCs w:val="24"/>
        </w:rPr>
        <w:t>rma que el cuestionario utilizado es pertinente para cumplir con el objetivo de este estudio, orientado a analizar el uso de las redes sociales en el proceso de aprendizaje de los estudiantes de Mercadotecnia (ver Tabla 4).</w:t>
      </w:r>
      <w:r>
        <w:rPr>
          <w:rFonts w:ascii="Times New Roman" w:hAnsi="Times New Roman" w:cs="Times New Roman"/>
          <w:sz w:val="24"/>
          <w:szCs w:val="24"/>
        </w:rPr>
        <w:tab/>
        <w:t xml:space="preserve">         </w:t>
      </w:r>
    </w:p>
    <w:p w14:paraId="0AB812B7" w14:textId="77777777" w:rsidR="000A0580" w:rsidRDefault="00A9180F">
      <w:pPr>
        <w:spacing w:line="480" w:lineRule="auto"/>
        <w:rPr>
          <w:rFonts w:ascii="Times New Roman" w:hAnsi="Times New Roman" w:cs="Times New Roman"/>
          <w:b/>
          <w:bCs/>
          <w:sz w:val="24"/>
          <w:szCs w:val="24"/>
        </w:rPr>
      </w:pPr>
      <w:bookmarkStart w:id="10" w:name="_Hlk175921145"/>
      <w:r>
        <w:rPr>
          <w:rFonts w:ascii="Times New Roman" w:hAnsi="Times New Roman" w:cs="Times New Roman"/>
          <w:b/>
          <w:bCs/>
          <w:sz w:val="24"/>
          <w:szCs w:val="24"/>
        </w:rPr>
        <w:t>Tabla 4</w:t>
      </w:r>
    </w:p>
    <w:p w14:paraId="52B2A2FD" w14:textId="77777777" w:rsidR="000A0580" w:rsidRDefault="00A9180F">
      <w:pPr>
        <w:spacing w:line="480" w:lineRule="auto"/>
        <w:rPr>
          <w:rFonts w:ascii="Times New Roman" w:hAnsi="Times New Roman" w:cs="Times New Roman"/>
          <w:b/>
          <w:bCs/>
          <w:sz w:val="24"/>
          <w:szCs w:val="24"/>
        </w:rPr>
      </w:pPr>
      <w:r>
        <w:rPr>
          <w:rFonts w:ascii="Times New Roman" w:hAnsi="Times New Roman" w:cs="Times New Roman"/>
          <w:i/>
          <w:iCs/>
          <w:sz w:val="24"/>
          <w:szCs w:val="24"/>
        </w:rPr>
        <w:t>Confiabilidad del Instrumento de Redes Sociales para el Aprendizaje en Universitarios.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4170"/>
        <w:gridCol w:w="2618"/>
      </w:tblGrid>
      <w:tr w:rsidR="000A0580" w14:paraId="66A7D287" w14:textId="77777777">
        <w:trPr>
          <w:trHeight w:val="342"/>
          <w:jc w:val="center"/>
        </w:trPr>
        <w:tc>
          <w:tcPr>
            <w:tcW w:w="2529" w:type="dxa"/>
            <w:tcBorders>
              <w:top w:val="single" w:sz="4" w:space="0" w:color="auto"/>
              <w:bottom w:val="single" w:sz="4" w:space="0" w:color="auto"/>
            </w:tcBorders>
            <w:noWrap/>
          </w:tcPr>
          <w:p w14:paraId="2A2399B4" w14:textId="77777777" w:rsidR="000A0580" w:rsidRDefault="000A0580">
            <w:pPr>
              <w:spacing w:after="0" w:line="480" w:lineRule="auto"/>
              <w:rPr>
                <w:rFonts w:ascii="Times New Roman" w:eastAsia="Arial" w:hAnsi="Times New Roman" w:cs="Times New Roman"/>
                <w:sz w:val="24"/>
                <w:szCs w:val="24"/>
                <w:lang w:eastAsia="es-MX"/>
              </w:rPr>
            </w:pPr>
            <w:bookmarkStart w:id="11" w:name="_Hlk175921195"/>
            <w:bookmarkStart w:id="12" w:name="_Hlk175921265"/>
            <w:bookmarkEnd w:id="10"/>
          </w:p>
        </w:tc>
        <w:tc>
          <w:tcPr>
            <w:tcW w:w="6788" w:type="dxa"/>
            <w:gridSpan w:val="2"/>
            <w:tcBorders>
              <w:top w:val="single" w:sz="4" w:space="0" w:color="auto"/>
              <w:bottom w:val="single" w:sz="4" w:space="0" w:color="auto"/>
            </w:tcBorders>
            <w:noWrap/>
          </w:tcPr>
          <w:p w14:paraId="32CC6768"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Estadísticas de fiabilidad</w:t>
            </w:r>
          </w:p>
        </w:tc>
      </w:tr>
      <w:tr w:rsidR="000A0580" w14:paraId="37D8E7A8" w14:textId="77777777">
        <w:trPr>
          <w:trHeight w:val="342"/>
          <w:jc w:val="center"/>
        </w:trPr>
        <w:tc>
          <w:tcPr>
            <w:tcW w:w="2529" w:type="dxa"/>
            <w:tcBorders>
              <w:top w:val="single" w:sz="4" w:space="0" w:color="auto"/>
            </w:tcBorders>
            <w:noWrap/>
          </w:tcPr>
          <w:p w14:paraId="4F44656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Muestra</w:t>
            </w:r>
          </w:p>
        </w:tc>
        <w:tc>
          <w:tcPr>
            <w:tcW w:w="4170" w:type="dxa"/>
            <w:tcBorders>
              <w:top w:val="single" w:sz="4" w:space="0" w:color="auto"/>
            </w:tcBorders>
            <w:noWrap/>
          </w:tcPr>
          <w:p w14:paraId="0DF2EA8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Alfa de Cronbach</w:t>
            </w:r>
          </w:p>
        </w:tc>
        <w:tc>
          <w:tcPr>
            <w:tcW w:w="2618" w:type="dxa"/>
            <w:tcBorders>
              <w:top w:val="single" w:sz="4" w:space="0" w:color="auto"/>
            </w:tcBorders>
            <w:noWrap/>
          </w:tcPr>
          <w:p w14:paraId="3B1BE2C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Número de ítems</w:t>
            </w:r>
          </w:p>
        </w:tc>
      </w:tr>
      <w:tr w:rsidR="000A0580" w14:paraId="19277842" w14:textId="77777777">
        <w:trPr>
          <w:trHeight w:val="342"/>
          <w:jc w:val="center"/>
        </w:trPr>
        <w:tc>
          <w:tcPr>
            <w:tcW w:w="2529" w:type="dxa"/>
            <w:tcBorders>
              <w:bottom w:val="single" w:sz="4" w:space="0" w:color="auto"/>
            </w:tcBorders>
            <w:noWrap/>
          </w:tcPr>
          <w:p w14:paraId="173BE450"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4170" w:type="dxa"/>
            <w:tcBorders>
              <w:bottom w:val="single" w:sz="4" w:space="0" w:color="auto"/>
            </w:tcBorders>
            <w:noWrap/>
          </w:tcPr>
          <w:p w14:paraId="6FB2811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0.880</w:t>
            </w:r>
          </w:p>
        </w:tc>
        <w:tc>
          <w:tcPr>
            <w:tcW w:w="2618" w:type="dxa"/>
            <w:tcBorders>
              <w:bottom w:val="single" w:sz="4" w:space="0" w:color="auto"/>
            </w:tcBorders>
            <w:noWrap/>
          </w:tcPr>
          <w:p w14:paraId="2E0F39C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11</w:t>
            </w:r>
          </w:p>
        </w:tc>
      </w:tr>
    </w:tbl>
    <w:bookmarkEnd w:id="11"/>
    <w:p w14:paraId="1A3D38F9" w14:textId="77777777" w:rsidR="000A0580" w:rsidRDefault="00A9180F">
      <w:p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 Fuente: elaboración propia.</w:t>
      </w:r>
    </w:p>
    <w:p w14:paraId="39BF5664" w14:textId="77777777" w:rsidR="000A0580" w:rsidRDefault="00A9180F">
      <w:pPr>
        <w:spacing w:line="480" w:lineRule="auto"/>
        <w:jc w:val="both"/>
        <w:rPr>
          <w:rFonts w:ascii="Times New Roman" w:hAnsi="Times New Roman" w:cs="Times New Roman"/>
          <w:sz w:val="24"/>
          <w:szCs w:val="24"/>
        </w:rPr>
      </w:pPr>
      <w:bookmarkStart w:id="13" w:name="_Hlk175921341"/>
      <w:bookmarkEnd w:id="12"/>
      <w:r>
        <w:rPr>
          <w:rFonts w:ascii="Times New Roman" w:hAnsi="Times New Roman" w:cs="Times New Roman"/>
          <w:sz w:val="24"/>
          <w:szCs w:val="24"/>
        </w:rPr>
        <w:t xml:space="preserve">La tercera parte del cuestionario integra un ítem adicional elaborado por los propios investigadores, el cual no se encuentra en el instrumento de referencia de López, Deniz y Santa Ana (2024). Su inclusión responde a la necesidad de identificar qué red social es la más utilizada por los estudiantes en su proceso de aprendizaje, lo que aporta un dato general que enriquece la interpretación de los resultados y orienta la formulación de estrategias educativas más ajustadas a la realidad del grupo de estudio. </w:t>
      </w:r>
      <w:r>
        <w:rPr>
          <w:rFonts w:ascii="Times New Roman" w:hAnsi="Times New Roman" w:cs="Times New Roman"/>
          <w:sz w:val="24"/>
          <w:szCs w:val="24"/>
        </w:rPr>
        <w:t>Es importante aclarar que este ítem no forma parte de la estructura validada del instrumento ni se considera dentro del análisis de confiabilidad interna, por lo que no afecta la consistencia estadística del cuestionario. Su función es únicamente complementaria, destinada a contextualizar las dimensiones principales y ofrecer un panorama más completo sobre las plataformas de mayor uso en la Licenciatura en Mercadotecnia de la Universidad Juárez Autónoma de Tabasco (ver Figura 1).</w:t>
      </w:r>
    </w:p>
    <w:p w14:paraId="7C61FB10"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Figura 1.</w:t>
      </w:r>
    </w:p>
    <w:p w14:paraId="55E9929E"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i/>
          <w:iCs/>
          <w:sz w:val="24"/>
          <w:szCs w:val="24"/>
        </w:rPr>
        <w:t>Red social con mayor uso por estudiantes de la Licenciatura en Mercadotecnia en su proceso de aprendizaje</w:t>
      </w:r>
      <w:r>
        <w:rPr>
          <w:rFonts w:ascii="Times New Roman" w:hAnsi="Times New Roman" w:cs="Times New Roman"/>
          <w:sz w:val="24"/>
          <w:szCs w:val="24"/>
        </w:rPr>
        <w:t>.</w:t>
      </w:r>
    </w:p>
    <w:p w14:paraId="7CAA9056" w14:textId="77777777" w:rsidR="000A0580" w:rsidRDefault="00A9180F">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CC5326" wp14:editId="669EA4B4">
            <wp:extent cx="4578350" cy="2755900"/>
            <wp:effectExtent l="19050" t="19050" r="12700" b="254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78350" cy="2755900"/>
                    </a:xfrm>
                    <a:prstGeom prst="rect">
                      <a:avLst/>
                    </a:prstGeom>
                    <a:noFill/>
                    <a:ln>
                      <a:solidFill>
                        <a:schemeClr val="tx1"/>
                      </a:solidFill>
                    </a:ln>
                  </pic:spPr>
                </pic:pic>
              </a:graphicData>
            </a:graphic>
          </wp:inline>
        </w:drawing>
      </w:r>
    </w:p>
    <w:p w14:paraId="36702463" w14:textId="77777777" w:rsidR="000A0580" w:rsidRDefault="00A9180F">
      <w:pPr>
        <w:spacing w:line="480" w:lineRule="auto"/>
        <w:rPr>
          <w:rFonts w:ascii="Times New Roman" w:hAnsi="Times New Roman" w:cs="Times New Roman"/>
          <w:sz w:val="24"/>
          <w:szCs w:val="24"/>
        </w:rPr>
      </w:pPr>
      <w:r>
        <w:rPr>
          <w:rFonts w:ascii="Times New Roman" w:hAnsi="Times New Roman" w:cs="Times New Roman"/>
          <w:sz w:val="24"/>
          <w:szCs w:val="24"/>
        </w:rPr>
        <w:t>Fuente: elaboración propia.</w:t>
      </w:r>
    </w:p>
    <w:p w14:paraId="0730A816"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La Figura 1 muestra la red social que los estudiantes de la Licenciatura en Mercadotecnia señalaron como la más utilizada dentro de su proceso de aprendizaje. Los datos indican que YouTube fue la plataforma con mayor preferencia, alcanzando un 32.8% de las respuestas. En segundo lugar, se encuentran Instagram y TikTok, ambas con un 22.4%, lo que refleja el interés de los estudiantes por plataformas visuales y de interacción rápida. Posteriormente aparece Facebook con un 16.4%, mientras que Telegram registró</w:t>
      </w:r>
      <w:r>
        <w:rPr>
          <w:rFonts w:ascii="Times New Roman" w:hAnsi="Times New Roman" w:cs="Times New Roman"/>
          <w:sz w:val="24"/>
          <w:szCs w:val="24"/>
        </w:rPr>
        <w:t xml:space="preserve"> el menor porcentaje de uso con un 6.0%.</w:t>
      </w:r>
    </w:p>
    <w:p w14:paraId="70ACF75B"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Estos resultados evidencian que, aunque existen diversas opciones de redes sociales, los estudiantes tienden a priorizar aquellas que combinan contenido audiovisual y facilidad de acceso, lo cual confirma la relevancia de estas herramientas para apoyar actividades de aprendizaje. Además, el predominio de YouTube resalta la preferencia por materiales didácticos en formato de video, ya que facilitan la comprensión de los temas y permiten el repaso de manera autónoma.</w:t>
      </w:r>
    </w:p>
    <w:bookmarkEnd w:id="13"/>
    <w:p w14:paraId="369A5412"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Recolección y análisis de datos.</w:t>
      </w:r>
    </w:p>
    <w:p w14:paraId="599813AC"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La recolección de datos se llevó a cabo de manera digital mediante un formulario en Google Forms, al cual los estudiantes accedieron a través de un código QR. Dicho código se entregó en formato físico dentro de los salones de clase, así como en áreas comunes de la universidad para facilitar la participación. Durante el proceso, los investigadores permanecieron en los lugares de aplicación para resolver cualquier duda y aclarar las instrucciones, con el fin de asegurar que todos comprendieran correctamente l</w:t>
      </w:r>
      <w:r>
        <w:rPr>
          <w:rFonts w:ascii="Times New Roman" w:hAnsi="Times New Roman" w:cs="Times New Roman"/>
          <w:sz w:val="24"/>
          <w:szCs w:val="24"/>
        </w:rPr>
        <w:t>a dinámica. Una vez respondido el cuestionario, las contestaciones se almacenaron automáticamente en una base de datos en Excel, lo que permitió contar con un registro organizado y confiable. Posteriormente, esta información fue transferida al programa Statistical Package for the Social Sciences (SPSS), que se utilizó como la herramienta principal para el análisis estadístico y la obtención de resultados.</w:t>
      </w:r>
    </w:p>
    <w:p w14:paraId="3A37A538"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Resultados. </w:t>
      </w:r>
    </w:p>
    <w:p w14:paraId="03CA393A" w14:textId="77777777" w:rsidR="000A0580" w:rsidRDefault="00A9180F">
      <w:pPr>
        <w:spacing w:line="480" w:lineRule="auto"/>
        <w:jc w:val="both"/>
      </w:pPr>
      <w:bookmarkStart w:id="14" w:name="_Hlk175921596"/>
      <w:bookmarkStart w:id="15" w:name="_Hlk175921552"/>
      <w:r>
        <w:rPr>
          <w:rFonts w:ascii="Times New Roman" w:hAnsi="Times New Roman" w:cs="Times New Roman"/>
          <w:sz w:val="24"/>
          <w:szCs w:val="24"/>
        </w:rPr>
        <w:t>Los resultados del estudio se organizaron en cuatro apartados principales; divididos de la siguiente manera:</w:t>
      </w:r>
      <w:r>
        <w:t xml:space="preserve"> </w:t>
      </w:r>
    </w:p>
    <w:p w14:paraId="00021E6C" w14:textId="77777777" w:rsidR="000A0580" w:rsidRDefault="00A9180F">
      <w:pPr>
        <w:pStyle w:val="Prrafodelista"/>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Análisis por dimensiones: se exponen los estadísticos descriptivos de cada dimensión de la variable uso de redes sociales en el aprendizaje, con el fin de reconocer en cuál de ellas los estudiantes obtuvieron las medias más altas y más bajas.</w:t>
      </w:r>
    </w:p>
    <w:p w14:paraId="6C55B91F" w14:textId="77777777" w:rsidR="000A0580" w:rsidRDefault="00A9180F">
      <w:pPr>
        <w:pStyle w:val="Prrafodelista"/>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Análisis por ítems: se detallan los resultados de cada reactivo dentro de su dimensión, destacando los de mayor y menor promedio, lo que permite señalar las áreas con mayor aprovechamiento y aquellas que requieren fortalecimiento.</w:t>
      </w:r>
    </w:p>
    <w:p w14:paraId="2FABDAB1" w14:textId="77777777" w:rsidR="000A0580" w:rsidRDefault="00A9180F">
      <w:pPr>
        <w:pStyle w:val="Prrafodelista"/>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Comparación por género: se aplicó la prueba t de Student para muestras independientes, con el propósito de identificar si existen diferencias significativas entre hombres y mujeres en el uso de redes sociales para fines académicos.</w:t>
      </w:r>
    </w:p>
    <w:p w14:paraId="6EF1864C" w14:textId="77777777" w:rsidR="000A0580" w:rsidRDefault="00A9180F">
      <w:pPr>
        <w:pStyle w:val="Prrafodelista"/>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Correlación de Pearson con variables sociodemográficas: se analizaron las relaciones entre el uso de redes sociales y variables como edad, promedio académico y semestre que cursan, con la intención de identificar posibles asociaciones que ayuden a comprender con mayor amplitud el comportamiento de los estudiantes.</w:t>
      </w:r>
    </w:p>
    <w:p w14:paraId="42BA152F"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Tabla 5</w:t>
      </w:r>
    </w:p>
    <w:p w14:paraId="77CB8469" w14:textId="77777777" w:rsidR="000A0580" w:rsidRDefault="00A9180F">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Estadísticos descriptivos por dimensión de la variable uso de redes sociales en el proceso de aprendizaje. </w:t>
      </w:r>
    </w:p>
    <w:tbl>
      <w:tblPr>
        <w:tblStyle w:val="Tablaconcuadrcula1"/>
        <w:tblW w:w="92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1882"/>
        <w:gridCol w:w="2665"/>
        <w:gridCol w:w="3145"/>
      </w:tblGrid>
      <w:tr w:rsidR="000A0580" w14:paraId="28743902" w14:textId="77777777">
        <w:trPr>
          <w:trHeight w:val="581"/>
          <w:jc w:val="center"/>
        </w:trPr>
        <w:tc>
          <w:tcPr>
            <w:tcW w:w="1586" w:type="dxa"/>
            <w:tcBorders>
              <w:top w:val="single" w:sz="4" w:space="0" w:color="auto"/>
              <w:bottom w:val="single" w:sz="4" w:space="0" w:color="auto"/>
            </w:tcBorders>
            <w:noWrap/>
            <w:vAlign w:val="center"/>
          </w:tcPr>
          <w:p w14:paraId="55A3B644" w14:textId="77777777" w:rsidR="000A0580" w:rsidRDefault="00A9180F">
            <w:pPr>
              <w:spacing w:after="0" w:line="480" w:lineRule="auto"/>
              <w:rPr>
                <w:rFonts w:ascii="Times New Roman" w:eastAsia="Arial" w:hAnsi="Times New Roman" w:cs="Times New Roman"/>
                <w:b/>
                <w:bCs/>
                <w:sz w:val="24"/>
                <w:szCs w:val="24"/>
                <w:lang w:eastAsia="es-MX"/>
              </w:rPr>
            </w:pPr>
            <w:bookmarkStart w:id="16" w:name="_Hlk175921607"/>
            <w:bookmarkEnd w:id="14"/>
            <w:r>
              <w:rPr>
                <w:rFonts w:ascii="Times New Roman" w:eastAsia="Arial" w:hAnsi="Times New Roman" w:cs="Times New Roman"/>
                <w:b/>
                <w:bCs/>
                <w:sz w:val="24"/>
                <w:szCs w:val="24"/>
                <w:lang w:eastAsia="es-MX"/>
              </w:rPr>
              <w:t>Estadísticos</w:t>
            </w:r>
          </w:p>
        </w:tc>
        <w:tc>
          <w:tcPr>
            <w:tcW w:w="1882" w:type="dxa"/>
            <w:tcBorders>
              <w:top w:val="single" w:sz="4" w:space="0" w:color="auto"/>
              <w:bottom w:val="single" w:sz="4" w:space="0" w:color="auto"/>
            </w:tcBorders>
            <w:noWrap/>
            <w:vAlign w:val="center"/>
          </w:tcPr>
          <w:p w14:paraId="04942DCB"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 xml:space="preserve">Comunicación </w:t>
            </w:r>
          </w:p>
          <w:p w14:paraId="43AD651D"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Académica</w:t>
            </w:r>
          </w:p>
        </w:tc>
        <w:tc>
          <w:tcPr>
            <w:tcW w:w="2665" w:type="dxa"/>
            <w:tcBorders>
              <w:top w:val="single" w:sz="4" w:space="0" w:color="auto"/>
              <w:bottom w:val="single" w:sz="4" w:space="0" w:color="auto"/>
            </w:tcBorders>
            <w:noWrap/>
            <w:vAlign w:val="center"/>
          </w:tcPr>
          <w:p w14:paraId="6E0CF55B" w14:textId="77777777" w:rsidR="000A0580" w:rsidRDefault="00A9180F">
            <w:pPr>
              <w:spacing w:after="0" w:line="480" w:lineRule="auto"/>
              <w:jc w:val="center"/>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Colaboración y Trabajo en Equipo</w:t>
            </w:r>
          </w:p>
        </w:tc>
        <w:tc>
          <w:tcPr>
            <w:tcW w:w="3145" w:type="dxa"/>
            <w:tcBorders>
              <w:top w:val="single" w:sz="4" w:space="0" w:color="auto"/>
              <w:bottom w:val="single" w:sz="4" w:space="0" w:color="auto"/>
            </w:tcBorders>
            <w:noWrap/>
            <w:vAlign w:val="center"/>
          </w:tcPr>
          <w:p w14:paraId="022D8C83" w14:textId="77777777" w:rsidR="000A0580" w:rsidRDefault="00A9180F">
            <w:pPr>
              <w:spacing w:after="0" w:line="480" w:lineRule="auto"/>
              <w:jc w:val="center"/>
              <w:rPr>
                <w:rFonts w:ascii="Times New Roman" w:eastAsia="Arial" w:hAnsi="Times New Roman" w:cs="Times New Roman"/>
                <w:b/>
                <w:bCs/>
                <w:sz w:val="24"/>
                <w:szCs w:val="24"/>
                <w:lang w:eastAsia="es-MX"/>
              </w:rPr>
            </w:pPr>
            <w:bookmarkStart w:id="17" w:name="_Hlk207905437"/>
            <w:r>
              <w:rPr>
                <w:rFonts w:ascii="Times New Roman" w:eastAsia="Arial" w:hAnsi="Times New Roman" w:cs="Times New Roman"/>
                <w:b/>
                <w:bCs/>
                <w:sz w:val="24"/>
                <w:szCs w:val="24"/>
                <w:lang w:eastAsia="es-MX"/>
              </w:rPr>
              <w:t>Integración institucional y apoyo al aprendizaje</w:t>
            </w:r>
            <w:bookmarkEnd w:id="17"/>
          </w:p>
        </w:tc>
      </w:tr>
      <w:tr w:rsidR="000A0580" w14:paraId="3E629FF2" w14:textId="77777777">
        <w:trPr>
          <w:trHeight w:val="581"/>
          <w:jc w:val="center"/>
        </w:trPr>
        <w:tc>
          <w:tcPr>
            <w:tcW w:w="1586" w:type="dxa"/>
            <w:tcBorders>
              <w:top w:val="single" w:sz="4" w:space="0" w:color="auto"/>
            </w:tcBorders>
            <w:noWrap/>
          </w:tcPr>
          <w:p w14:paraId="0DBBDD25"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N</w:t>
            </w:r>
          </w:p>
        </w:tc>
        <w:tc>
          <w:tcPr>
            <w:tcW w:w="1882" w:type="dxa"/>
            <w:tcBorders>
              <w:top w:val="single" w:sz="4" w:space="0" w:color="auto"/>
            </w:tcBorders>
            <w:noWrap/>
          </w:tcPr>
          <w:p w14:paraId="7B1F8FA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2665" w:type="dxa"/>
            <w:tcBorders>
              <w:top w:val="single" w:sz="4" w:space="0" w:color="auto"/>
            </w:tcBorders>
            <w:noWrap/>
          </w:tcPr>
          <w:p w14:paraId="04D626B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3145" w:type="dxa"/>
            <w:tcBorders>
              <w:top w:val="single" w:sz="4" w:space="0" w:color="auto"/>
            </w:tcBorders>
            <w:noWrap/>
          </w:tcPr>
          <w:p w14:paraId="26985E33"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r>
      <w:tr w:rsidR="000A0580" w14:paraId="75B5BC8C" w14:textId="77777777">
        <w:trPr>
          <w:trHeight w:val="581"/>
          <w:jc w:val="center"/>
        </w:trPr>
        <w:tc>
          <w:tcPr>
            <w:tcW w:w="1586" w:type="dxa"/>
            <w:noWrap/>
          </w:tcPr>
          <w:p w14:paraId="689EE373"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Media</w:t>
            </w:r>
          </w:p>
        </w:tc>
        <w:tc>
          <w:tcPr>
            <w:tcW w:w="1882" w:type="dxa"/>
            <w:noWrap/>
          </w:tcPr>
          <w:p w14:paraId="3288992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2.456</w:t>
            </w:r>
          </w:p>
        </w:tc>
        <w:tc>
          <w:tcPr>
            <w:tcW w:w="2665" w:type="dxa"/>
            <w:noWrap/>
          </w:tcPr>
          <w:p w14:paraId="3D67657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2.616</w:t>
            </w:r>
          </w:p>
        </w:tc>
        <w:tc>
          <w:tcPr>
            <w:tcW w:w="3145" w:type="dxa"/>
            <w:noWrap/>
          </w:tcPr>
          <w:p w14:paraId="42ACAEA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2.835</w:t>
            </w:r>
          </w:p>
        </w:tc>
      </w:tr>
      <w:tr w:rsidR="000A0580" w14:paraId="56186C07" w14:textId="77777777">
        <w:trPr>
          <w:trHeight w:val="581"/>
          <w:jc w:val="center"/>
        </w:trPr>
        <w:tc>
          <w:tcPr>
            <w:tcW w:w="1586" w:type="dxa"/>
            <w:noWrap/>
          </w:tcPr>
          <w:p w14:paraId="580F2C50"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Mediana</w:t>
            </w:r>
          </w:p>
        </w:tc>
        <w:tc>
          <w:tcPr>
            <w:tcW w:w="1882" w:type="dxa"/>
            <w:noWrap/>
          </w:tcPr>
          <w:p w14:paraId="5923D0A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2.6</w:t>
            </w:r>
          </w:p>
        </w:tc>
        <w:tc>
          <w:tcPr>
            <w:tcW w:w="2665" w:type="dxa"/>
            <w:noWrap/>
          </w:tcPr>
          <w:p w14:paraId="4E087D7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2.66</w:t>
            </w:r>
          </w:p>
        </w:tc>
        <w:tc>
          <w:tcPr>
            <w:tcW w:w="3145" w:type="dxa"/>
            <w:noWrap/>
          </w:tcPr>
          <w:p w14:paraId="36C2468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3.00</w:t>
            </w:r>
          </w:p>
        </w:tc>
      </w:tr>
      <w:tr w:rsidR="000A0580" w14:paraId="2B63DA11" w14:textId="77777777">
        <w:trPr>
          <w:trHeight w:val="581"/>
          <w:jc w:val="center"/>
        </w:trPr>
        <w:tc>
          <w:tcPr>
            <w:tcW w:w="1586" w:type="dxa"/>
            <w:noWrap/>
          </w:tcPr>
          <w:p w14:paraId="01F53139"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Moda</w:t>
            </w:r>
          </w:p>
        </w:tc>
        <w:tc>
          <w:tcPr>
            <w:tcW w:w="1882" w:type="dxa"/>
            <w:noWrap/>
          </w:tcPr>
          <w:p w14:paraId="366E01A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2.20</w:t>
            </w:r>
          </w:p>
        </w:tc>
        <w:tc>
          <w:tcPr>
            <w:tcW w:w="2665" w:type="dxa"/>
            <w:noWrap/>
          </w:tcPr>
          <w:p w14:paraId="3542CC2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2.33</w:t>
            </w:r>
          </w:p>
        </w:tc>
        <w:tc>
          <w:tcPr>
            <w:tcW w:w="3145" w:type="dxa"/>
            <w:noWrap/>
          </w:tcPr>
          <w:p w14:paraId="5E9F96A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3.00</w:t>
            </w:r>
          </w:p>
        </w:tc>
      </w:tr>
      <w:tr w:rsidR="000A0580" w14:paraId="1AD2E414" w14:textId="77777777">
        <w:trPr>
          <w:trHeight w:val="581"/>
          <w:jc w:val="center"/>
        </w:trPr>
        <w:tc>
          <w:tcPr>
            <w:tcW w:w="1586" w:type="dxa"/>
            <w:noWrap/>
          </w:tcPr>
          <w:p w14:paraId="30B17DA4"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D.E.</w:t>
            </w:r>
          </w:p>
        </w:tc>
        <w:tc>
          <w:tcPr>
            <w:tcW w:w="1882" w:type="dxa"/>
            <w:noWrap/>
          </w:tcPr>
          <w:p w14:paraId="242DD0A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0.740</w:t>
            </w:r>
          </w:p>
        </w:tc>
        <w:tc>
          <w:tcPr>
            <w:tcW w:w="2665" w:type="dxa"/>
            <w:noWrap/>
          </w:tcPr>
          <w:p w14:paraId="0CAA428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0.859</w:t>
            </w:r>
          </w:p>
        </w:tc>
        <w:tc>
          <w:tcPr>
            <w:tcW w:w="3145" w:type="dxa"/>
            <w:noWrap/>
          </w:tcPr>
          <w:p w14:paraId="7AC60C4D"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0.654</w:t>
            </w:r>
          </w:p>
        </w:tc>
      </w:tr>
      <w:tr w:rsidR="000A0580" w14:paraId="0EAB9EA8" w14:textId="77777777">
        <w:trPr>
          <w:trHeight w:val="581"/>
          <w:jc w:val="center"/>
        </w:trPr>
        <w:tc>
          <w:tcPr>
            <w:tcW w:w="1586" w:type="dxa"/>
            <w:noWrap/>
          </w:tcPr>
          <w:p w14:paraId="2784A1B8"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Mínimo</w:t>
            </w:r>
          </w:p>
        </w:tc>
        <w:tc>
          <w:tcPr>
            <w:tcW w:w="1882" w:type="dxa"/>
            <w:noWrap/>
          </w:tcPr>
          <w:p w14:paraId="263CCA2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w:t>
            </w:r>
          </w:p>
        </w:tc>
        <w:tc>
          <w:tcPr>
            <w:tcW w:w="2665" w:type="dxa"/>
            <w:noWrap/>
          </w:tcPr>
          <w:p w14:paraId="052386B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w:t>
            </w:r>
          </w:p>
        </w:tc>
        <w:tc>
          <w:tcPr>
            <w:tcW w:w="3145" w:type="dxa"/>
            <w:noWrap/>
          </w:tcPr>
          <w:p w14:paraId="3EF3164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w:t>
            </w:r>
          </w:p>
        </w:tc>
      </w:tr>
      <w:tr w:rsidR="000A0580" w14:paraId="3D967A99" w14:textId="77777777">
        <w:trPr>
          <w:trHeight w:val="581"/>
          <w:jc w:val="center"/>
        </w:trPr>
        <w:tc>
          <w:tcPr>
            <w:tcW w:w="1586" w:type="dxa"/>
            <w:tcBorders>
              <w:bottom w:val="single" w:sz="4" w:space="0" w:color="auto"/>
            </w:tcBorders>
            <w:noWrap/>
          </w:tcPr>
          <w:p w14:paraId="68F25138"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Máximo</w:t>
            </w:r>
          </w:p>
        </w:tc>
        <w:tc>
          <w:tcPr>
            <w:tcW w:w="1882" w:type="dxa"/>
            <w:tcBorders>
              <w:bottom w:val="single" w:sz="4" w:space="0" w:color="auto"/>
            </w:tcBorders>
            <w:noWrap/>
          </w:tcPr>
          <w:p w14:paraId="3322C86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w:t>
            </w:r>
          </w:p>
        </w:tc>
        <w:tc>
          <w:tcPr>
            <w:tcW w:w="2665" w:type="dxa"/>
            <w:tcBorders>
              <w:bottom w:val="single" w:sz="4" w:space="0" w:color="auto"/>
            </w:tcBorders>
            <w:noWrap/>
          </w:tcPr>
          <w:p w14:paraId="586F094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w:t>
            </w:r>
          </w:p>
        </w:tc>
        <w:tc>
          <w:tcPr>
            <w:tcW w:w="3145" w:type="dxa"/>
            <w:tcBorders>
              <w:bottom w:val="single" w:sz="4" w:space="0" w:color="auto"/>
            </w:tcBorders>
            <w:noWrap/>
          </w:tcPr>
          <w:p w14:paraId="36C4F923"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w:t>
            </w:r>
          </w:p>
        </w:tc>
      </w:tr>
    </w:tbl>
    <w:p w14:paraId="50EA12FA" w14:textId="77777777" w:rsidR="000A0580" w:rsidRDefault="00A9180F">
      <w:pPr>
        <w:spacing w:after="0"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 Fuente: elaboración propia.</w:t>
      </w:r>
      <w:bookmarkEnd w:id="15"/>
      <w:bookmarkEnd w:id="16"/>
    </w:p>
    <w:p w14:paraId="3EE6E107" w14:textId="77777777" w:rsidR="000A0580" w:rsidRDefault="00A9180F">
      <w:pPr>
        <w:spacing w:after="0"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Los datos presentados en la Tabla 5 permiten observar cómo se distribuye el uso de las redes sociales según cada dimensión analizada. La Comunicación académica alcanzó una media de 2.456, lo que refleja un nivel de uso que se ubica entre “algunas veces” y “casi siempre”. En la dimensión de Colaboración y trabajo en equipo se obtuvo una media ligeramente mayor (2.616), lo cual indica que los estudiantes tienden a emplear con más frecuencia las redes sociales para coordinar actividades colectivas y compartir </w:t>
      </w:r>
      <w:r>
        <w:rPr>
          <w:rFonts w:ascii="Times New Roman" w:eastAsia="Arial" w:hAnsi="Times New Roman" w:cs="Times New Roman"/>
          <w:sz w:val="24"/>
          <w:szCs w:val="24"/>
          <w:lang w:eastAsia="es-MX"/>
        </w:rPr>
        <w:t>materiales. Finalmente, la dimensión de Integración institucional y apoyo al aprendizaje registró la media más alta (2.835), con una mediana de 3.00, lo que muestra que los alumnos perciben una mayor presencia de estas plataformas como recurso académico promovido por la universidad y los docentes.</w:t>
      </w:r>
    </w:p>
    <w:p w14:paraId="3A53AC13" w14:textId="77777777" w:rsidR="000A0580" w:rsidRDefault="00A9180F">
      <w:pPr>
        <w:spacing w:after="0" w:line="480" w:lineRule="auto"/>
        <w:jc w:val="both"/>
        <w:rPr>
          <w:rFonts w:ascii="Times New Roman" w:eastAsia="Arial" w:hAnsi="Times New Roman" w:cs="Times New Roman"/>
          <w:sz w:val="24"/>
          <w:szCs w:val="24"/>
          <w:lang w:eastAsia="es-MX"/>
        </w:rPr>
      </w:pPr>
      <w:bookmarkStart w:id="18" w:name="_Hlk175921869"/>
      <w:r>
        <w:rPr>
          <w:rFonts w:ascii="Times New Roman" w:eastAsia="Arial" w:hAnsi="Times New Roman" w:cs="Times New Roman"/>
          <w:b/>
          <w:bCs/>
          <w:sz w:val="24"/>
          <w:szCs w:val="24"/>
          <w:lang w:eastAsia="es-MX"/>
        </w:rPr>
        <w:t xml:space="preserve">Tabla </w:t>
      </w:r>
      <w:bookmarkStart w:id="19" w:name="_Hlk207638412"/>
      <w:r>
        <w:rPr>
          <w:rFonts w:ascii="Times New Roman" w:eastAsia="Arial" w:hAnsi="Times New Roman" w:cs="Times New Roman"/>
          <w:b/>
          <w:bCs/>
          <w:sz w:val="24"/>
          <w:szCs w:val="24"/>
          <w:lang w:eastAsia="es-MX"/>
        </w:rPr>
        <w:t>6</w:t>
      </w:r>
    </w:p>
    <w:p w14:paraId="36FD2946" w14:textId="77777777" w:rsidR="000A0580" w:rsidRDefault="00A9180F">
      <w:pPr>
        <w:spacing w:after="0" w:line="480" w:lineRule="auto"/>
        <w:jc w:val="both"/>
        <w:rPr>
          <w:rFonts w:ascii="Times New Roman" w:eastAsia="Arial" w:hAnsi="Times New Roman" w:cs="Times New Roman"/>
          <w:sz w:val="24"/>
          <w:szCs w:val="24"/>
          <w:lang w:eastAsia="es-MX"/>
        </w:rPr>
      </w:pPr>
      <w:bookmarkStart w:id="20" w:name="_Hlk207905077"/>
      <w:r>
        <w:rPr>
          <w:rFonts w:ascii="Times New Roman" w:eastAsia="Arial" w:hAnsi="Times New Roman" w:cs="Times New Roman"/>
          <w:i/>
          <w:iCs/>
          <w:sz w:val="24"/>
          <w:szCs w:val="24"/>
          <w:lang w:eastAsia="es-MX"/>
        </w:rPr>
        <w:t>Estadísticos descriptivos de la dimensión Comunicación Académica</w:t>
      </w:r>
      <w:bookmarkEnd w:id="19"/>
      <w:r>
        <w:rPr>
          <w:rFonts w:ascii="Times New Roman" w:eastAsia="Arial" w:hAnsi="Times New Roman" w:cs="Times New Roman"/>
          <w:i/>
          <w:iCs/>
          <w:sz w:val="24"/>
          <w:szCs w:val="24"/>
          <w:lang w:eastAsia="es-MX"/>
        </w:rPr>
        <w:t>.</w:t>
      </w:r>
    </w:p>
    <w:tbl>
      <w:tblPr>
        <w:tblStyle w:val="Tablaconcuadrcula"/>
        <w:tblW w:w="95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851"/>
        <w:gridCol w:w="1276"/>
        <w:gridCol w:w="992"/>
        <w:gridCol w:w="763"/>
      </w:tblGrid>
      <w:tr w:rsidR="000A0580" w14:paraId="58522D86" w14:textId="77777777">
        <w:trPr>
          <w:trHeight w:val="252"/>
          <w:jc w:val="center"/>
        </w:trPr>
        <w:tc>
          <w:tcPr>
            <w:tcW w:w="5670" w:type="dxa"/>
            <w:tcBorders>
              <w:top w:val="single" w:sz="4" w:space="0" w:color="auto"/>
              <w:bottom w:val="single" w:sz="4" w:space="0" w:color="auto"/>
            </w:tcBorders>
            <w:noWrap/>
          </w:tcPr>
          <w:p w14:paraId="29252A23" w14:textId="77777777" w:rsidR="000A0580" w:rsidRDefault="000A0580">
            <w:pPr>
              <w:spacing w:after="0" w:line="480" w:lineRule="auto"/>
              <w:rPr>
                <w:rFonts w:ascii="Times New Roman" w:eastAsia="Arial" w:hAnsi="Times New Roman" w:cs="Times New Roman"/>
                <w:sz w:val="24"/>
                <w:szCs w:val="24"/>
                <w:lang w:eastAsia="es-MX"/>
              </w:rPr>
            </w:pPr>
            <w:bookmarkStart w:id="21" w:name="_Hlk175921742"/>
          </w:p>
        </w:tc>
        <w:tc>
          <w:tcPr>
            <w:tcW w:w="851" w:type="dxa"/>
            <w:tcBorders>
              <w:top w:val="single" w:sz="4" w:space="0" w:color="auto"/>
              <w:bottom w:val="single" w:sz="4" w:space="0" w:color="auto"/>
            </w:tcBorders>
            <w:noWrap/>
          </w:tcPr>
          <w:p w14:paraId="11CE540A"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Media</w:t>
            </w:r>
          </w:p>
        </w:tc>
        <w:tc>
          <w:tcPr>
            <w:tcW w:w="1276" w:type="dxa"/>
            <w:tcBorders>
              <w:top w:val="single" w:sz="4" w:space="0" w:color="auto"/>
              <w:bottom w:val="single" w:sz="4" w:space="0" w:color="auto"/>
            </w:tcBorders>
            <w:noWrap/>
          </w:tcPr>
          <w:p w14:paraId="337AB683"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Mediana</w:t>
            </w:r>
          </w:p>
        </w:tc>
        <w:tc>
          <w:tcPr>
            <w:tcW w:w="992" w:type="dxa"/>
            <w:tcBorders>
              <w:top w:val="single" w:sz="4" w:space="0" w:color="auto"/>
              <w:bottom w:val="single" w:sz="4" w:space="0" w:color="auto"/>
            </w:tcBorders>
            <w:noWrap/>
          </w:tcPr>
          <w:p w14:paraId="05B87FE2"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Moda</w:t>
            </w:r>
          </w:p>
        </w:tc>
        <w:tc>
          <w:tcPr>
            <w:tcW w:w="763" w:type="dxa"/>
            <w:tcBorders>
              <w:top w:val="single" w:sz="4" w:space="0" w:color="auto"/>
              <w:bottom w:val="single" w:sz="4" w:space="0" w:color="auto"/>
            </w:tcBorders>
            <w:noWrap/>
          </w:tcPr>
          <w:p w14:paraId="120EAEBC"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D.E</w:t>
            </w:r>
          </w:p>
        </w:tc>
      </w:tr>
      <w:tr w:rsidR="000A0580" w14:paraId="6C5E6EEF" w14:textId="77777777">
        <w:trPr>
          <w:trHeight w:val="252"/>
          <w:jc w:val="center"/>
        </w:trPr>
        <w:tc>
          <w:tcPr>
            <w:tcW w:w="5670" w:type="dxa"/>
            <w:tcBorders>
              <w:top w:val="single" w:sz="4" w:space="0" w:color="auto"/>
            </w:tcBorders>
            <w:noWrap/>
          </w:tcPr>
          <w:p w14:paraId="63A9559A" w14:textId="77777777" w:rsidR="000A0580" w:rsidRDefault="00A9180F">
            <w:pPr>
              <w:spacing w:after="0" w:line="480" w:lineRule="auto"/>
              <w:jc w:val="left"/>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N</w:t>
            </w:r>
          </w:p>
        </w:tc>
        <w:tc>
          <w:tcPr>
            <w:tcW w:w="851" w:type="dxa"/>
            <w:tcBorders>
              <w:top w:val="single" w:sz="4" w:space="0" w:color="auto"/>
            </w:tcBorders>
            <w:noWrap/>
            <w:vAlign w:val="center"/>
          </w:tcPr>
          <w:p w14:paraId="7245F2A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1276" w:type="dxa"/>
            <w:tcBorders>
              <w:top w:val="single" w:sz="4" w:space="0" w:color="auto"/>
            </w:tcBorders>
            <w:noWrap/>
            <w:vAlign w:val="center"/>
          </w:tcPr>
          <w:p w14:paraId="007BA8C0"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992" w:type="dxa"/>
            <w:tcBorders>
              <w:top w:val="single" w:sz="4" w:space="0" w:color="auto"/>
            </w:tcBorders>
            <w:noWrap/>
            <w:vAlign w:val="center"/>
          </w:tcPr>
          <w:p w14:paraId="23056F6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763" w:type="dxa"/>
            <w:tcBorders>
              <w:top w:val="single" w:sz="4" w:space="0" w:color="auto"/>
            </w:tcBorders>
            <w:noWrap/>
            <w:vAlign w:val="center"/>
          </w:tcPr>
          <w:p w14:paraId="228F3E8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r>
      <w:tr w:rsidR="000A0580" w14:paraId="39E4499D" w14:textId="77777777">
        <w:trPr>
          <w:trHeight w:val="252"/>
          <w:jc w:val="center"/>
        </w:trPr>
        <w:tc>
          <w:tcPr>
            <w:tcW w:w="5670" w:type="dxa"/>
            <w:noWrap/>
          </w:tcPr>
          <w:p w14:paraId="7DD2BD9F"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P2. Estoy en grupos en las redes sociales para mantenerme informado sobre el avance de mis asignaturas.</w:t>
            </w:r>
          </w:p>
        </w:tc>
        <w:tc>
          <w:tcPr>
            <w:tcW w:w="851" w:type="dxa"/>
            <w:noWrap/>
            <w:vAlign w:val="center"/>
          </w:tcPr>
          <w:p w14:paraId="18C1697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2.806</w:t>
            </w:r>
          </w:p>
        </w:tc>
        <w:tc>
          <w:tcPr>
            <w:tcW w:w="1276" w:type="dxa"/>
            <w:noWrap/>
            <w:vAlign w:val="center"/>
          </w:tcPr>
          <w:p w14:paraId="4EF8831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3.000</w:t>
            </w:r>
          </w:p>
        </w:tc>
        <w:tc>
          <w:tcPr>
            <w:tcW w:w="992" w:type="dxa"/>
            <w:noWrap/>
            <w:vAlign w:val="center"/>
          </w:tcPr>
          <w:p w14:paraId="2ECA5A1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4.000</w:t>
            </w:r>
          </w:p>
        </w:tc>
        <w:tc>
          <w:tcPr>
            <w:tcW w:w="763" w:type="dxa"/>
            <w:noWrap/>
            <w:vAlign w:val="center"/>
          </w:tcPr>
          <w:p w14:paraId="23EF999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1.131</w:t>
            </w:r>
          </w:p>
        </w:tc>
      </w:tr>
      <w:tr w:rsidR="000A0580" w14:paraId="44FB6806" w14:textId="77777777">
        <w:trPr>
          <w:trHeight w:val="252"/>
          <w:jc w:val="center"/>
        </w:trPr>
        <w:tc>
          <w:tcPr>
            <w:tcW w:w="5670" w:type="dxa"/>
            <w:noWrap/>
          </w:tcPr>
          <w:p w14:paraId="05E8ED5F"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P3. El profesor nos avisa por las redes sociales sobre las tareas o actividades.</w:t>
            </w:r>
          </w:p>
        </w:tc>
        <w:tc>
          <w:tcPr>
            <w:tcW w:w="851" w:type="dxa"/>
            <w:noWrap/>
            <w:vAlign w:val="center"/>
          </w:tcPr>
          <w:p w14:paraId="53E7071D"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2.029</w:t>
            </w:r>
          </w:p>
        </w:tc>
        <w:tc>
          <w:tcPr>
            <w:tcW w:w="1276" w:type="dxa"/>
            <w:noWrap/>
            <w:vAlign w:val="center"/>
          </w:tcPr>
          <w:p w14:paraId="6108C6D0"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992" w:type="dxa"/>
            <w:noWrap/>
            <w:vAlign w:val="center"/>
          </w:tcPr>
          <w:p w14:paraId="28C00D41"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1.000</w:t>
            </w:r>
          </w:p>
        </w:tc>
        <w:tc>
          <w:tcPr>
            <w:tcW w:w="763" w:type="dxa"/>
            <w:noWrap/>
            <w:vAlign w:val="center"/>
          </w:tcPr>
          <w:p w14:paraId="6AC93B7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1.014</w:t>
            </w:r>
          </w:p>
        </w:tc>
      </w:tr>
      <w:tr w:rsidR="000A0580" w14:paraId="71227073" w14:textId="77777777">
        <w:trPr>
          <w:trHeight w:val="252"/>
          <w:jc w:val="center"/>
        </w:trPr>
        <w:tc>
          <w:tcPr>
            <w:tcW w:w="5670" w:type="dxa"/>
            <w:noWrap/>
          </w:tcPr>
          <w:p w14:paraId="7BD28A90"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P4. Consultamos con el profesor en las redes sociales cualquier duda.</w:t>
            </w:r>
          </w:p>
        </w:tc>
        <w:tc>
          <w:tcPr>
            <w:tcW w:w="851" w:type="dxa"/>
            <w:noWrap/>
            <w:vAlign w:val="center"/>
          </w:tcPr>
          <w:p w14:paraId="571AB51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2.059</w:t>
            </w:r>
          </w:p>
        </w:tc>
        <w:tc>
          <w:tcPr>
            <w:tcW w:w="1276" w:type="dxa"/>
            <w:noWrap/>
            <w:vAlign w:val="center"/>
          </w:tcPr>
          <w:p w14:paraId="36A21A1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992" w:type="dxa"/>
            <w:noWrap/>
            <w:vAlign w:val="center"/>
          </w:tcPr>
          <w:p w14:paraId="03CF729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763" w:type="dxa"/>
            <w:noWrap/>
            <w:vAlign w:val="center"/>
          </w:tcPr>
          <w:p w14:paraId="486BF853"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.982</w:t>
            </w:r>
          </w:p>
        </w:tc>
      </w:tr>
      <w:tr w:rsidR="000A0580" w14:paraId="4A08AF3B" w14:textId="77777777">
        <w:trPr>
          <w:trHeight w:val="252"/>
          <w:jc w:val="center"/>
        </w:trPr>
        <w:tc>
          <w:tcPr>
            <w:tcW w:w="5670" w:type="dxa"/>
            <w:noWrap/>
          </w:tcPr>
          <w:p w14:paraId="5140E5FC"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P5. Mis compañeros y yo chateamos en las redes sociales sobre las tareas y actividades.</w:t>
            </w:r>
          </w:p>
        </w:tc>
        <w:tc>
          <w:tcPr>
            <w:tcW w:w="851" w:type="dxa"/>
            <w:noWrap/>
            <w:vAlign w:val="center"/>
          </w:tcPr>
          <w:p w14:paraId="41C3D84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3.134</w:t>
            </w:r>
          </w:p>
        </w:tc>
        <w:tc>
          <w:tcPr>
            <w:tcW w:w="1276" w:type="dxa"/>
            <w:noWrap/>
            <w:vAlign w:val="center"/>
          </w:tcPr>
          <w:p w14:paraId="114CEC9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3.000</w:t>
            </w:r>
          </w:p>
        </w:tc>
        <w:tc>
          <w:tcPr>
            <w:tcW w:w="992" w:type="dxa"/>
            <w:noWrap/>
            <w:vAlign w:val="center"/>
          </w:tcPr>
          <w:p w14:paraId="4F1C492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4.000</w:t>
            </w:r>
          </w:p>
        </w:tc>
        <w:tc>
          <w:tcPr>
            <w:tcW w:w="763" w:type="dxa"/>
            <w:noWrap/>
            <w:vAlign w:val="center"/>
          </w:tcPr>
          <w:p w14:paraId="0B2FF64D"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.919</w:t>
            </w:r>
          </w:p>
        </w:tc>
      </w:tr>
      <w:tr w:rsidR="000A0580" w14:paraId="391FAF20" w14:textId="77777777">
        <w:trPr>
          <w:trHeight w:val="252"/>
          <w:jc w:val="center"/>
        </w:trPr>
        <w:tc>
          <w:tcPr>
            <w:tcW w:w="5670" w:type="dxa"/>
            <w:tcBorders>
              <w:bottom w:val="single" w:sz="4" w:space="0" w:color="auto"/>
            </w:tcBorders>
            <w:noWrap/>
          </w:tcPr>
          <w:p w14:paraId="4A373A4F"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P8. Tenemos un grupo en las redes sociales con nuestro profesor solo con fines escolares.</w:t>
            </w:r>
          </w:p>
        </w:tc>
        <w:tc>
          <w:tcPr>
            <w:tcW w:w="851" w:type="dxa"/>
            <w:tcBorders>
              <w:bottom w:val="single" w:sz="4" w:space="0" w:color="auto"/>
            </w:tcBorders>
            <w:noWrap/>
            <w:vAlign w:val="center"/>
          </w:tcPr>
          <w:p w14:paraId="43C4B44D"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2.253</w:t>
            </w:r>
          </w:p>
        </w:tc>
        <w:tc>
          <w:tcPr>
            <w:tcW w:w="1276" w:type="dxa"/>
            <w:tcBorders>
              <w:bottom w:val="single" w:sz="4" w:space="0" w:color="auto"/>
            </w:tcBorders>
            <w:noWrap/>
            <w:vAlign w:val="center"/>
          </w:tcPr>
          <w:p w14:paraId="6C45D260"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992" w:type="dxa"/>
            <w:tcBorders>
              <w:bottom w:val="single" w:sz="4" w:space="0" w:color="auto"/>
            </w:tcBorders>
            <w:noWrap/>
            <w:vAlign w:val="center"/>
          </w:tcPr>
          <w:p w14:paraId="4DA49600"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763" w:type="dxa"/>
            <w:tcBorders>
              <w:bottom w:val="single" w:sz="4" w:space="0" w:color="auto"/>
            </w:tcBorders>
            <w:noWrap/>
            <w:vAlign w:val="center"/>
          </w:tcPr>
          <w:p w14:paraId="3E1B51D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1.105</w:t>
            </w:r>
          </w:p>
        </w:tc>
      </w:tr>
    </w:tbl>
    <w:p w14:paraId="0F8E286F" w14:textId="77777777" w:rsidR="000A0580" w:rsidRDefault="00A9180F">
      <w:pPr>
        <w:spacing w:after="0" w:line="480" w:lineRule="auto"/>
        <w:jc w:val="both"/>
        <w:rPr>
          <w:rFonts w:ascii="Times New Roman" w:eastAsia="Arial" w:hAnsi="Times New Roman" w:cs="Times New Roman"/>
          <w:sz w:val="24"/>
          <w:szCs w:val="24"/>
          <w:lang w:eastAsia="es-MX"/>
        </w:rPr>
      </w:pPr>
      <w:bookmarkStart w:id="22" w:name="_Hlk175921790"/>
      <w:r>
        <w:rPr>
          <w:rFonts w:ascii="Times New Roman" w:eastAsia="Arial" w:hAnsi="Times New Roman" w:cs="Times New Roman"/>
          <w:sz w:val="24"/>
          <w:szCs w:val="24"/>
          <w:lang w:eastAsia="es-MX"/>
        </w:rPr>
        <w:t>Fuente: elaboración propia.</w:t>
      </w:r>
    </w:p>
    <w:p w14:paraId="5BB1DA94" w14:textId="77777777" w:rsidR="000A0580" w:rsidRDefault="00A9180F">
      <w:pPr>
        <w:spacing w:after="0" w:line="480" w:lineRule="auto"/>
        <w:jc w:val="both"/>
        <w:rPr>
          <w:rFonts w:ascii="Times New Roman" w:eastAsia="Arial" w:hAnsi="Times New Roman" w:cs="Times New Roman"/>
          <w:sz w:val="24"/>
          <w:szCs w:val="24"/>
          <w:lang w:eastAsia="es-MX"/>
        </w:rPr>
      </w:pPr>
      <w:bookmarkStart w:id="23" w:name="_Hlk175594018"/>
      <w:bookmarkEnd w:id="18"/>
      <w:bookmarkEnd w:id="20"/>
      <w:bookmarkEnd w:id="21"/>
      <w:bookmarkEnd w:id="22"/>
      <w:r>
        <w:rPr>
          <w:rFonts w:ascii="Times New Roman" w:eastAsia="Arial" w:hAnsi="Times New Roman" w:cs="Times New Roman"/>
          <w:sz w:val="24"/>
          <w:szCs w:val="24"/>
          <w:lang w:eastAsia="es-MX"/>
        </w:rPr>
        <w:t>En la Tabla 6 se observa que el ítem con la media más baja fue P3 (</w:t>
      </w:r>
      <w:r>
        <w:rPr>
          <w:rFonts w:ascii="Cambria Math" w:eastAsia="Arial" w:hAnsi="Cambria Math" w:cs="Cambria Math"/>
          <w:sz w:val="24"/>
          <w:szCs w:val="24"/>
          <w:lang w:eastAsia="es-MX"/>
        </w:rPr>
        <w:t>𝑥</w:t>
      </w:r>
      <w:r>
        <w:rPr>
          <w:rFonts w:ascii="Times New Roman" w:eastAsia="Arial" w:hAnsi="Times New Roman" w:cs="Times New Roman"/>
          <w:sz w:val="24"/>
          <w:szCs w:val="24"/>
          <w:lang w:eastAsia="es-MX"/>
        </w:rPr>
        <w:t>̄</w:t>
      </w:r>
      <w:r>
        <w:rPr>
          <w:rFonts w:ascii="Times New Roman" w:eastAsia="Arial" w:hAnsi="Times New Roman" w:cs="Times New Roman"/>
          <w:sz w:val="24"/>
          <w:szCs w:val="24"/>
          <w:lang w:eastAsia="es-MX"/>
        </w:rPr>
        <w:t xml:space="preserve"> = 2.029), lo que indica que los estudiantes perciben poco uso de las redes sociales por parte de los docentes para comunicar tareas o actividades; este aspecto representa un área de oportunidad para fortalecer la interacción formal profesor–alumno. En contraste, la media más alta se presentó en P5 (</w:t>
      </w:r>
      <w:r>
        <w:rPr>
          <w:rFonts w:ascii="Cambria Math" w:eastAsia="Arial" w:hAnsi="Cambria Math" w:cs="Cambria Math"/>
          <w:sz w:val="24"/>
          <w:szCs w:val="24"/>
          <w:lang w:eastAsia="es-MX"/>
        </w:rPr>
        <w:t>𝑥</w:t>
      </w:r>
      <w:r>
        <w:rPr>
          <w:rFonts w:ascii="Times New Roman" w:eastAsia="Arial" w:hAnsi="Times New Roman" w:cs="Times New Roman"/>
          <w:sz w:val="24"/>
          <w:szCs w:val="24"/>
          <w:lang w:eastAsia="es-MX"/>
        </w:rPr>
        <w:t>̄</w:t>
      </w:r>
      <w:r>
        <w:rPr>
          <w:rFonts w:ascii="Times New Roman" w:eastAsia="Arial" w:hAnsi="Times New Roman" w:cs="Times New Roman"/>
          <w:sz w:val="24"/>
          <w:szCs w:val="24"/>
          <w:lang w:eastAsia="es-MX"/>
        </w:rPr>
        <w:t xml:space="preserve"> = 3.134), lo que refleja que los estudiantes recurren con mayor frecuencia a las redes sociales para dialogar con sus compañeros sobre las actividades académicas, lo cual muestra su potencial para favorec</w:t>
      </w:r>
      <w:r>
        <w:rPr>
          <w:rFonts w:ascii="Times New Roman" w:eastAsia="Arial" w:hAnsi="Times New Roman" w:cs="Times New Roman"/>
          <w:sz w:val="24"/>
          <w:szCs w:val="24"/>
          <w:lang w:eastAsia="es-MX"/>
        </w:rPr>
        <w:t>er la colaboración y el intercambio de información en el aprendizaje.</w:t>
      </w:r>
    </w:p>
    <w:p w14:paraId="511B38B4" w14:textId="77777777" w:rsidR="000A0580" w:rsidRDefault="00A9180F">
      <w:pPr>
        <w:spacing w:after="0" w:line="480" w:lineRule="auto"/>
        <w:jc w:val="both"/>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Tabla 7</w:t>
      </w:r>
    </w:p>
    <w:p w14:paraId="1C5B4289" w14:textId="77777777" w:rsidR="000A0580" w:rsidRDefault="00A9180F">
      <w:pPr>
        <w:spacing w:after="0" w:line="480" w:lineRule="auto"/>
        <w:jc w:val="both"/>
        <w:rPr>
          <w:rFonts w:ascii="Times New Roman" w:eastAsia="Arial" w:hAnsi="Times New Roman" w:cs="Times New Roman"/>
          <w:sz w:val="24"/>
          <w:szCs w:val="24"/>
          <w:lang w:eastAsia="es-MX"/>
        </w:rPr>
      </w:pPr>
      <w:bookmarkStart w:id="24" w:name="_Hlk175921970"/>
      <w:bookmarkEnd w:id="23"/>
      <w:r>
        <w:rPr>
          <w:rFonts w:ascii="Times New Roman" w:eastAsia="Arial" w:hAnsi="Times New Roman" w:cs="Times New Roman"/>
          <w:i/>
          <w:iCs/>
          <w:sz w:val="24"/>
          <w:szCs w:val="24"/>
          <w:lang w:eastAsia="es-MX"/>
        </w:rPr>
        <w:t xml:space="preserve">Estadísticos descriptivos de la dimensión Colaboración y Trabajo en Equipo. </w:t>
      </w:r>
    </w:p>
    <w:tbl>
      <w:tblPr>
        <w:tblStyle w:val="Tablaconcuadrcula"/>
        <w:tblW w:w="95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851"/>
        <w:gridCol w:w="1276"/>
        <w:gridCol w:w="992"/>
        <w:gridCol w:w="763"/>
      </w:tblGrid>
      <w:tr w:rsidR="000A0580" w14:paraId="03B6A10C" w14:textId="77777777">
        <w:trPr>
          <w:trHeight w:val="252"/>
          <w:jc w:val="center"/>
        </w:trPr>
        <w:tc>
          <w:tcPr>
            <w:tcW w:w="5670" w:type="dxa"/>
            <w:tcBorders>
              <w:top w:val="single" w:sz="4" w:space="0" w:color="auto"/>
              <w:bottom w:val="single" w:sz="4" w:space="0" w:color="auto"/>
            </w:tcBorders>
            <w:noWrap/>
          </w:tcPr>
          <w:p w14:paraId="74143FE2" w14:textId="77777777" w:rsidR="000A0580" w:rsidRDefault="000A0580">
            <w:pPr>
              <w:spacing w:after="0" w:line="480" w:lineRule="auto"/>
              <w:rPr>
                <w:rFonts w:ascii="Times New Roman" w:eastAsia="Arial" w:hAnsi="Times New Roman" w:cs="Times New Roman"/>
                <w:sz w:val="24"/>
                <w:szCs w:val="24"/>
                <w:lang w:eastAsia="es-MX"/>
              </w:rPr>
            </w:pPr>
          </w:p>
        </w:tc>
        <w:tc>
          <w:tcPr>
            <w:tcW w:w="851" w:type="dxa"/>
            <w:tcBorders>
              <w:top w:val="single" w:sz="4" w:space="0" w:color="auto"/>
              <w:bottom w:val="single" w:sz="4" w:space="0" w:color="auto"/>
            </w:tcBorders>
            <w:noWrap/>
          </w:tcPr>
          <w:p w14:paraId="47E3B132"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Media</w:t>
            </w:r>
          </w:p>
        </w:tc>
        <w:tc>
          <w:tcPr>
            <w:tcW w:w="1276" w:type="dxa"/>
            <w:tcBorders>
              <w:top w:val="single" w:sz="4" w:space="0" w:color="auto"/>
              <w:bottom w:val="single" w:sz="4" w:space="0" w:color="auto"/>
            </w:tcBorders>
            <w:noWrap/>
          </w:tcPr>
          <w:p w14:paraId="05119AD1"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Mediana</w:t>
            </w:r>
          </w:p>
        </w:tc>
        <w:tc>
          <w:tcPr>
            <w:tcW w:w="992" w:type="dxa"/>
            <w:tcBorders>
              <w:top w:val="single" w:sz="4" w:space="0" w:color="auto"/>
              <w:bottom w:val="single" w:sz="4" w:space="0" w:color="auto"/>
            </w:tcBorders>
            <w:noWrap/>
          </w:tcPr>
          <w:p w14:paraId="0F6CFAA0"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Moda</w:t>
            </w:r>
          </w:p>
        </w:tc>
        <w:tc>
          <w:tcPr>
            <w:tcW w:w="763" w:type="dxa"/>
            <w:tcBorders>
              <w:top w:val="single" w:sz="4" w:space="0" w:color="auto"/>
              <w:bottom w:val="single" w:sz="4" w:space="0" w:color="auto"/>
            </w:tcBorders>
            <w:noWrap/>
          </w:tcPr>
          <w:p w14:paraId="62D79687"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D.E</w:t>
            </w:r>
          </w:p>
        </w:tc>
      </w:tr>
      <w:tr w:rsidR="000A0580" w14:paraId="14014767" w14:textId="77777777">
        <w:trPr>
          <w:trHeight w:val="252"/>
          <w:jc w:val="center"/>
        </w:trPr>
        <w:tc>
          <w:tcPr>
            <w:tcW w:w="5670" w:type="dxa"/>
            <w:tcBorders>
              <w:top w:val="single" w:sz="4" w:space="0" w:color="auto"/>
            </w:tcBorders>
            <w:noWrap/>
          </w:tcPr>
          <w:p w14:paraId="104D0156" w14:textId="77777777" w:rsidR="000A0580" w:rsidRDefault="00A9180F">
            <w:pPr>
              <w:spacing w:after="0" w:line="480" w:lineRule="auto"/>
              <w:jc w:val="left"/>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N</w:t>
            </w:r>
          </w:p>
        </w:tc>
        <w:tc>
          <w:tcPr>
            <w:tcW w:w="851" w:type="dxa"/>
            <w:tcBorders>
              <w:top w:val="single" w:sz="4" w:space="0" w:color="auto"/>
            </w:tcBorders>
            <w:noWrap/>
            <w:vAlign w:val="center"/>
          </w:tcPr>
          <w:p w14:paraId="7538E7A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1276" w:type="dxa"/>
            <w:tcBorders>
              <w:top w:val="single" w:sz="4" w:space="0" w:color="auto"/>
            </w:tcBorders>
            <w:noWrap/>
            <w:vAlign w:val="center"/>
          </w:tcPr>
          <w:p w14:paraId="231BE05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992" w:type="dxa"/>
            <w:tcBorders>
              <w:top w:val="single" w:sz="4" w:space="0" w:color="auto"/>
            </w:tcBorders>
            <w:noWrap/>
            <w:vAlign w:val="center"/>
          </w:tcPr>
          <w:p w14:paraId="7F7A280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763" w:type="dxa"/>
            <w:tcBorders>
              <w:top w:val="single" w:sz="4" w:space="0" w:color="auto"/>
            </w:tcBorders>
            <w:noWrap/>
            <w:vAlign w:val="center"/>
          </w:tcPr>
          <w:p w14:paraId="0C5E2D6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r>
      <w:tr w:rsidR="000A0580" w14:paraId="2EABB4FD" w14:textId="77777777">
        <w:trPr>
          <w:trHeight w:val="252"/>
          <w:jc w:val="center"/>
        </w:trPr>
        <w:tc>
          <w:tcPr>
            <w:tcW w:w="5670" w:type="dxa"/>
            <w:noWrap/>
          </w:tcPr>
          <w:p w14:paraId="101CF29E"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P6. Trabajamos en equipo usando las redes sociales.</w:t>
            </w:r>
          </w:p>
        </w:tc>
        <w:tc>
          <w:tcPr>
            <w:tcW w:w="851" w:type="dxa"/>
            <w:noWrap/>
            <w:vAlign w:val="center"/>
          </w:tcPr>
          <w:p w14:paraId="419453B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2.835</w:t>
            </w:r>
          </w:p>
        </w:tc>
        <w:tc>
          <w:tcPr>
            <w:tcW w:w="1276" w:type="dxa"/>
            <w:noWrap/>
            <w:vAlign w:val="center"/>
          </w:tcPr>
          <w:p w14:paraId="725C75C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3.000</w:t>
            </w:r>
          </w:p>
        </w:tc>
        <w:tc>
          <w:tcPr>
            <w:tcW w:w="992" w:type="dxa"/>
            <w:noWrap/>
            <w:vAlign w:val="center"/>
          </w:tcPr>
          <w:p w14:paraId="601F85D8"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3.000</w:t>
            </w:r>
          </w:p>
        </w:tc>
        <w:tc>
          <w:tcPr>
            <w:tcW w:w="763" w:type="dxa"/>
            <w:noWrap/>
            <w:vAlign w:val="center"/>
          </w:tcPr>
          <w:p w14:paraId="345EA9F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.978</w:t>
            </w:r>
          </w:p>
        </w:tc>
      </w:tr>
      <w:tr w:rsidR="000A0580" w14:paraId="7743546E" w14:textId="77777777">
        <w:trPr>
          <w:trHeight w:val="252"/>
          <w:jc w:val="center"/>
        </w:trPr>
        <w:tc>
          <w:tcPr>
            <w:tcW w:w="5670" w:type="dxa"/>
            <w:noWrap/>
          </w:tcPr>
          <w:p w14:paraId="0C4B073C"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P7. Enviamos tareas, ensayos u otros documentos solicitados por el profesor usando las redes sociales.</w:t>
            </w:r>
          </w:p>
        </w:tc>
        <w:tc>
          <w:tcPr>
            <w:tcW w:w="851" w:type="dxa"/>
            <w:noWrap/>
            <w:vAlign w:val="center"/>
          </w:tcPr>
          <w:p w14:paraId="35613A8D"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2.522</w:t>
            </w:r>
          </w:p>
        </w:tc>
        <w:tc>
          <w:tcPr>
            <w:tcW w:w="1276" w:type="dxa"/>
            <w:noWrap/>
            <w:vAlign w:val="center"/>
          </w:tcPr>
          <w:p w14:paraId="6E0FFE13"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992" w:type="dxa"/>
            <w:noWrap/>
            <w:vAlign w:val="center"/>
          </w:tcPr>
          <w:p w14:paraId="76930A5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763" w:type="dxa"/>
            <w:noWrap/>
            <w:vAlign w:val="center"/>
          </w:tcPr>
          <w:p w14:paraId="0200E44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1.078</w:t>
            </w:r>
          </w:p>
        </w:tc>
      </w:tr>
      <w:tr w:rsidR="000A0580" w14:paraId="4650F5AD" w14:textId="77777777">
        <w:trPr>
          <w:trHeight w:val="252"/>
          <w:jc w:val="center"/>
        </w:trPr>
        <w:tc>
          <w:tcPr>
            <w:tcW w:w="5670" w:type="dxa"/>
            <w:tcBorders>
              <w:bottom w:val="single" w:sz="4" w:space="0" w:color="auto"/>
            </w:tcBorders>
            <w:noWrap/>
          </w:tcPr>
          <w:p w14:paraId="6D0B06D5"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P9. Usamos videollamadas en las redes sociales para un mejor trabajo en equipo.</w:t>
            </w:r>
          </w:p>
        </w:tc>
        <w:tc>
          <w:tcPr>
            <w:tcW w:w="851" w:type="dxa"/>
            <w:tcBorders>
              <w:bottom w:val="single" w:sz="4" w:space="0" w:color="auto"/>
            </w:tcBorders>
            <w:noWrap/>
            <w:vAlign w:val="center"/>
          </w:tcPr>
          <w:p w14:paraId="5B12085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2.492</w:t>
            </w:r>
          </w:p>
        </w:tc>
        <w:tc>
          <w:tcPr>
            <w:tcW w:w="1276" w:type="dxa"/>
            <w:tcBorders>
              <w:bottom w:val="single" w:sz="4" w:space="0" w:color="auto"/>
            </w:tcBorders>
            <w:noWrap/>
            <w:vAlign w:val="center"/>
          </w:tcPr>
          <w:p w14:paraId="5DD7189E"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992" w:type="dxa"/>
            <w:tcBorders>
              <w:bottom w:val="single" w:sz="4" w:space="0" w:color="auto"/>
            </w:tcBorders>
            <w:noWrap/>
            <w:vAlign w:val="center"/>
          </w:tcPr>
          <w:p w14:paraId="1FD860E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763" w:type="dxa"/>
            <w:tcBorders>
              <w:bottom w:val="single" w:sz="4" w:space="0" w:color="auto"/>
            </w:tcBorders>
            <w:noWrap/>
            <w:vAlign w:val="center"/>
          </w:tcPr>
          <w:p w14:paraId="4B097EC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.990</w:t>
            </w:r>
          </w:p>
        </w:tc>
      </w:tr>
    </w:tbl>
    <w:p w14:paraId="2AEDCAD6" w14:textId="77777777" w:rsidR="000A0580" w:rsidRDefault="00A9180F">
      <w:pPr>
        <w:spacing w:after="0"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Fuente: elaboración propia.</w:t>
      </w:r>
    </w:p>
    <w:bookmarkEnd w:id="24"/>
    <w:p w14:paraId="7F8B372D"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En la Tabla 7 se aprecia que el ítem con la media más baja fue P9 (</w:t>
      </w:r>
      <w:r>
        <w:rPr>
          <w:rFonts w:ascii="Cambria Math" w:hAnsi="Cambria Math" w:cs="Cambria Math"/>
          <w:sz w:val="24"/>
          <w:szCs w:val="24"/>
        </w:rPr>
        <w:t>𝑥</w:t>
      </w:r>
      <w:r>
        <w:rPr>
          <w:rFonts w:ascii="Times New Roman" w:hAnsi="Times New Roman" w:cs="Times New Roman"/>
          <w:sz w:val="24"/>
          <w:szCs w:val="24"/>
        </w:rPr>
        <w:t>̄</w:t>
      </w:r>
      <w:r>
        <w:rPr>
          <w:rFonts w:ascii="Times New Roman" w:hAnsi="Times New Roman" w:cs="Times New Roman"/>
          <w:sz w:val="24"/>
          <w:szCs w:val="24"/>
        </w:rPr>
        <w:t xml:space="preserve"> = 2.492), lo que muestra que el uso de videollamadas en redes sociales para organizar el trabajo en equipo es todavía poco frecuente, por lo que convendría promover estrategias que fortalezcan esta práctica. En cambio, el valor más alto se registró en P6 (</w:t>
      </w:r>
      <w:r>
        <w:rPr>
          <w:rFonts w:ascii="Cambria Math" w:hAnsi="Cambria Math" w:cs="Cambria Math"/>
          <w:sz w:val="24"/>
          <w:szCs w:val="24"/>
        </w:rPr>
        <w:t>𝑥</w:t>
      </w:r>
      <w:r>
        <w:rPr>
          <w:rFonts w:ascii="Times New Roman" w:hAnsi="Times New Roman" w:cs="Times New Roman"/>
          <w:sz w:val="24"/>
          <w:szCs w:val="24"/>
        </w:rPr>
        <w:t>̄</w:t>
      </w:r>
      <w:r>
        <w:rPr>
          <w:rFonts w:ascii="Times New Roman" w:hAnsi="Times New Roman" w:cs="Times New Roman"/>
          <w:sz w:val="24"/>
          <w:szCs w:val="24"/>
        </w:rPr>
        <w:t xml:space="preserve"> = 2.835), lo cual indica que los estudiantes recurren con mayor regularidad a las redes sociales para coordinarse y realizar actividades en conjunto, evidenciando que estas plataformas ya cumplen un papel importante en la colaboración académica.</w:t>
      </w:r>
    </w:p>
    <w:p w14:paraId="1AD0A579" w14:textId="77777777" w:rsidR="000A0580" w:rsidRDefault="00A9180F">
      <w:pPr>
        <w:spacing w:after="0" w:line="480" w:lineRule="auto"/>
        <w:jc w:val="both"/>
        <w:rPr>
          <w:rFonts w:ascii="Times New Roman" w:hAnsi="Times New Roman" w:cs="Times New Roman"/>
          <w:b/>
          <w:bCs/>
          <w:sz w:val="24"/>
          <w:szCs w:val="24"/>
        </w:rPr>
      </w:pPr>
      <w:bookmarkStart w:id="25" w:name="_Hlk175594528"/>
      <w:r>
        <w:rPr>
          <w:rFonts w:ascii="Times New Roman" w:hAnsi="Times New Roman" w:cs="Times New Roman"/>
          <w:b/>
          <w:bCs/>
          <w:sz w:val="24"/>
          <w:szCs w:val="24"/>
        </w:rPr>
        <w:t>Tabla 8</w:t>
      </w:r>
    </w:p>
    <w:p w14:paraId="5168CAA1" w14:textId="77777777" w:rsidR="000A0580" w:rsidRDefault="00A9180F">
      <w:pPr>
        <w:spacing w:after="0" w:line="480" w:lineRule="auto"/>
        <w:jc w:val="both"/>
        <w:rPr>
          <w:rFonts w:ascii="Times New Roman" w:eastAsia="Arial" w:hAnsi="Times New Roman" w:cs="Times New Roman"/>
          <w:sz w:val="24"/>
          <w:szCs w:val="24"/>
          <w:lang w:eastAsia="es-MX"/>
        </w:rPr>
      </w:pPr>
      <w:bookmarkStart w:id="26" w:name="_Hlk175922024"/>
      <w:bookmarkEnd w:id="25"/>
      <w:r>
        <w:rPr>
          <w:rFonts w:ascii="Times New Roman" w:eastAsia="Arial" w:hAnsi="Times New Roman" w:cs="Times New Roman"/>
          <w:i/>
          <w:iCs/>
          <w:sz w:val="24"/>
          <w:szCs w:val="24"/>
          <w:lang w:eastAsia="es-MX"/>
        </w:rPr>
        <w:t>Estadísticos descriptivos de la dimensión Integración Institucional y Apoyo al Aprendizaje.</w:t>
      </w:r>
    </w:p>
    <w:tbl>
      <w:tblPr>
        <w:tblStyle w:val="Tablaconcuadrcula"/>
        <w:tblW w:w="95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851"/>
        <w:gridCol w:w="1276"/>
        <w:gridCol w:w="992"/>
        <w:gridCol w:w="763"/>
      </w:tblGrid>
      <w:tr w:rsidR="000A0580" w14:paraId="387DA1BC" w14:textId="77777777">
        <w:trPr>
          <w:trHeight w:val="252"/>
          <w:jc w:val="center"/>
        </w:trPr>
        <w:tc>
          <w:tcPr>
            <w:tcW w:w="5670" w:type="dxa"/>
            <w:tcBorders>
              <w:top w:val="single" w:sz="4" w:space="0" w:color="auto"/>
              <w:bottom w:val="single" w:sz="4" w:space="0" w:color="auto"/>
            </w:tcBorders>
            <w:noWrap/>
          </w:tcPr>
          <w:p w14:paraId="3C325AC1" w14:textId="77777777" w:rsidR="000A0580" w:rsidRDefault="000A0580">
            <w:pPr>
              <w:spacing w:after="0" w:line="480" w:lineRule="auto"/>
              <w:rPr>
                <w:rFonts w:ascii="Times New Roman" w:eastAsia="Arial" w:hAnsi="Times New Roman" w:cs="Times New Roman"/>
                <w:sz w:val="24"/>
                <w:szCs w:val="24"/>
                <w:lang w:eastAsia="es-MX"/>
              </w:rPr>
            </w:pPr>
          </w:p>
        </w:tc>
        <w:tc>
          <w:tcPr>
            <w:tcW w:w="851" w:type="dxa"/>
            <w:tcBorders>
              <w:top w:val="single" w:sz="4" w:space="0" w:color="auto"/>
              <w:bottom w:val="single" w:sz="4" w:space="0" w:color="auto"/>
            </w:tcBorders>
            <w:noWrap/>
          </w:tcPr>
          <w:p w14:paraId="72D076E7"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Media</w:t>
            </w:r>
          </w:p>
        </w:tc>
        <w:tc>
          <w:tcPr>
            <w:tcW w:w="1276" w:type="dxa"/>
            <w:tcBorders>
              <w:top w:val="single" w:sz="4" w:space="0" w:color="auto"/>
              <w:bottom w:val="single" w:sz="4" w:space="0" w:color="auto"/>
            </w:tcBorders>
            <w:noWrap/>
          </w:tcPr>
          <w:p w14:paraId="426E5F20"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Mediana</w:t>
            </w:r>
          </w:p>
        </w:tc>
        <w:tc>
          <w:tcPr>
            <w:tcW w:w="992" w:type="dxa"/>
            <w:tcBorders>
              <w:top w:val="single" w:sz="4" w:space="0" w:color="auto"/>
              <w:bottom w:val="single" w:sz="4" w:space="0" w:color="auto"/>
            </w:tcBorders>
            <w:noWrap/>
          </w:tcPr>
          <w:p w14:paraId="1F4414FC"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Moda</w:t>
            </w:r>
          </w:p>
        </w:tc>
        <w:tc>
          <w:tcPr>
            <w:tcW w:w="763" w:type="dxa"/>
            <w:tcBorders>
              <w:top w:val="single" w:sz="4" w:space="0" w:color="auto"/>
              <w:bottom w:val="single" w:sz="4" w:space="0" w:color="auto"/>
            </w:tcBorders>
            <w:noWrap/>
          </w:tcPr>
          <w:p w14:paraId="11E5D088"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D.E</w:t>
            </w:r>
          </w:p>
        </w:tc>
      </w:tr>
      <w:tr w:rsidR="000A0580" w14:paraId="56123BD4" w14:textId="77777777">
        <w:trPr>
          <w:trHeight w:val="252"/>
          <w:jc w:val="center"/>
        </w:trPr>
        <w:tc>
          <w:tcPr>
            <w:tcW w:w="5670" w:type="dxa"/>
            <w:tcBorders>
              <w:top w:val="single" w:sz="4" w:space="0" w:color="auto"/>
            </w:tcBorders>
            <w:noWrap/>
          </w:tcPr>
          <w:p w14:paraId="46B28934" w14:textId="77777777" w:rsidR="000A0580" w:rsidRDefault="00A9180F">
            <w:pPr>
              <w:spacing w:after="0" w:line="480" w:lineRule="auto"/>
              <w:jc w:val="left"/>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N</w:t>
            </w:r>
          </w:p>
        </w:tc>
        <w:tc>
          <w:tcPr>
            <w:tcW w:w="851" w:type="dxa"/>
            <w:tcBorders>
              <w:top w:val="single" w:sz="4" w:space="0" w:color="auto"/>
            </w:tcBorders>
            <w:noWrap/>
            <w:vAlign w:val="center"/>
          </w:tcPr>
          <w:p w14:paraId="4A467CE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1276" w:type="dxa"/>
            <w:tcBorders>
              <w:top w:val="single" w:sz="4" w:space="0" w:color="auto"/>
            </w:tcBorders>
            <w:noWrap/>
            <w:vAlign w:val="center"/>
          </w:tcPr>
          <w:p w14:paraId="0D32DB80"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992" w:type="dxa"/>
            <w:tcBorders>
              <w:top w:val="single" w:sz="4" w:space="0" w:color="auto"/>
            </w:tcBorders>
            <w:noWrap/>
            <w:vAlign w:val="center"/>
          </w:tcPr>
          <w:p w14:paraId="731B83B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c>
          <w:tcPr>
            <w:tcW w:w="763" w:type="dxa"/>
            <w:tcBorders>
              <w:top w:val="single" w:sz="4" w:space="0" w:color="auto"/>
            </w:tcBorders>
            <w:noWrap/>
            <w:vAlign w:val="center"/>
          </w:tcPr>
          <w:p w14:paraId="0198982A"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67</w:t>
            </w:r>
          </w:p>
        </w:tc>
      </w:tr>
      <w:tr w:rsidR="000A0580" w14:paraId="4762E290" w14:textId="77777777">
        <w:trPr>
          <w:trHeight w:val="252"/>
          <w:jc w:val="center"/>
        </w:trPr>
        <w:tc>
          <w:tcPr>
            <w:tcW w:w="5670" w:type="dxa"/>
            <w:noWrap/>
          </w:tcPr>
          <w:p w14:paraId="148E132E"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P1. Uso redes sociales (facebook, instagram, x, tik tok, telegram, youtube) para compartir archivos, enlaces o información de alguna tarea.</w:t>
            </w:r>
          </w:p>
        </w:tc>
        <w:tc>
          <w:tcPr>
            <w:tcW w:w="851" w:type="dxa"/>
            <w:noWrap/>
            <w:vAlign w:val="center"/>
          </w:tcPr>
          <w:p w14:paraId="29827E84"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3.194</w:t>
            </w:r>
          </w:p>
        </w:tc>
        <w:tc>
          <w:tcPr>
            <w:tcW w:w="1276" w:type="dxa"/>
            <w:noWrap/>
            <w:vAlign w:val="center"/>
          </w:tcPr>
          <w:p w14:paraId="0E3C474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3.000</w:t>
            </w:r>
          </w:p>
        </w:tc>
        <w:tc>
          <w:tcPr>
            <w:tcW w:w="992" w:type="dxa"/>
            <w:noWrap/>
            <w:vAlign w:val="center"/>
          </w:tcPr>
          <w:p w14:paraId="3987208C"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4.000</w:t>
            </w:r>
          </w:p>
        </w:tc>
        <w:tc>
          <w:tcPr>
            <w:tcW w:w="763" w:type="dxa"/>
            <w:noWrap/>
            <w:vAlign w:val="center"/>
          </w:tcPr>
          <w:p w14:paraId="0FF865B7"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.891</w:t>
            </w:r>
          </w:p>
        </w:tc>
      </w:tr>
      <w:tr w:rsidR="000A0580" w14:paraId="3595E478" w14:textId="77777777">
        <w:trPr>
          <w:trHeight w:val="252"/>
          <w:jc w:val="center"/>
        </w:trPr>
        <w:tc>
          <w:tcPr>
            <w:tcW w:w="5670" w:type="dxa"/>
            <w:noWrap/>
          </w:tcPr>
          <w:p w14:paraId="379A9A49"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P10. Algún profesor me permite usar las redes sociales en su clase para los fines de su asignatura.</w:t>
            </w:r>
          </w:p>
        </w:tc>
        <w:tc>
          <w:tcPr>
            <w:tcW w:w="851" w:type="dxa"/>
            <w:noWrap/>
            <w:vAlign w:val="center"/>
          </w:tcPr>
          <w:p w14:paraId="411DB28B"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2.611</w:t>
            </w:r>
          </w:p>
        </w:tc>
        <w:tc>
          <w:tcPr>
            <w:tcW w:w="1276" w:type="dxa"/>
            <w:noWrap/>
            <w:vAlign w:val="center"/>
          </w:tcPr>
          <w:p w14:paraId="2B575809"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992" w:type="dxa"/>
            <w:noWrap/>
            <w:vAlign w:val="center"/>
          </w:tcPr>
          <w:p w14:paraId="50D92D6E"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763" w:type="dxa"/>
            <w:noWrap/>
            <w:vAlign w:val="center"/>
          </w:tcPr>
          <w:p w14:paraId="36B0BED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.815</w:t>
            </w:r>
          </w:p>
        </w:tc>
      </w:tr>
      <w:tr w:rsidR="000A0580" w14:paraId="56FA54C4" w14:textId="77777777">
        <w:trPr>
          <w:trHeight w:val="252"/>
          <w:jc w:val="center"/>
        </w:trPr>
        <w:tc>
          <w:tcPr>
            <w:tcW w:w="5670" w:type="dxa"/>
            <w:tcBorders>
              <w:bottom w:val="single" w:sz="4" w:space="0" w:color="auto"/>
            </w:tcBorders>
            <w:noWrap/>
          </w:tcPr>
          <w:p w14:paraId="526AA96F"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P11. En mi universidad usamos redes sociales con el objetivo de facilitar mi proceso de aprendizaje.</w:t>
            </w:r>
          </w:p>
        </w:tc>
        <w:tc>
          <w:tcPr>
            <w:tcW w:w="851" w:type="dxa"/>
            <w:tcBorders>
              <w:bottom w:val="single" w:sz="4" w:space="0" w:color="auto"/>
            </w:tcBorders>
            <w:noWrap/>
            <w:vAlign w:val="center"/>
          </w:tcPr>
          <w:p w14:paraId="60F2D8FF"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2.701</w:t>
            </w:r>
          </w:p>
        </w:tc>
        <w:tc>
          <w:tcPr>
            <w:tcW w:w="1276" w:type="dxa"/>
            <w:tcBorders>
              <w:bottom w:val="single" w:sz="4" w:space="0" w:color="auto"/>
            </w:tcBorders>
            <w:noWrap/>
            <w:vAlign w:val="center"/>
          </w:tcPr>
          <w:p w14:paraId="5F7B8806"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3.000</w:t>
            </w:r>
          </w:p>
        </w:tc>
        <w:tc>
          <w:tcPr>
            <w:tcW w:w="992" w:type="dxa"/>
            <w:tcBorders>
              <w:bottom w:val="single" w:sz="4" w:space="0" w:color="auto"/>
            </w:tcBorders>
            <w:noWrap/>
            <w:vAlign w:val="center"/>
          </w:tcPr>
          <w:p w14:paraId="211E42C5"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2.000</w:t>
            </w:r>
          </w:p>
        </w:tc>
        <w:tc>
          <w:tcPr>
            <w:tcW w:w="763" w:type="dxa"/>
            <w:tcBorders>
              <w:bottom w:val="single" w:sz="4" w:space="0" w:color="auto"/>
            </w:tcBorders>
            <w:noWrap/>
            <w:vAlign w:val="center"/>
          </w:tcPr>
          <w:p w14:paraId="20F44B52" w14:textId="77777777" w:rsidR="000A0580" w:rsidRDefault="00A9180F">
            <w:pPr>
              <w:spacing w:after="0" w:line="480" w:lineRule="auto"/>
              <w:jc w:val="center"/>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.904</w:t>
            </w:r>
          </w:p>
        </w:tc>
      </w:tr>
    </w:tbl>
    <w:p w14:paraId="5C92C416" w14:textId="77777777" w:rsidR="000A0580" w:rsidRDefault="00A9180F">
      <w:pPr>
        <w:spacing w:after="0"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Fuente: elaboración propia.</w:t>
      </w:r>
    </w:p>
    <w:p w14:paraId="05795484" w14:textId="77777777" w:rsidR="000A0580" w:rsidRDefault="00A9180F">
      <w:pPr>
        <w:spacing w:after="0" w:line="480" w:lineRule="auto"/>
        <w:jc w:val="both"/>
        <w:rPr>
          <w:rFonts w:ascii="Times New Roman" w:hAnsi="Times New Roman" w:cs="Times New Roman"/>
          <w:sz w:val="24"/>
          <w:szCs w:val="24"/>
        </w:rPr>
      </w:pPr>
      <w:bookmarkStart w:id="27" w:name="_Hlk175595682"/>
      <w:bookmarkEnd w:id="26"/>
      <w:r>
        <w:rPr>
          <w:rFonts w:ascii="Times New Roman" w:hAnsi="Times New Roman" w:cs="Times New Roman"/>
          <w:sz w:val="24"/>
          <w:szCs w:val="24"/>
        </w:rPr>
        <w:t>En la Tabla 8 se identifica que el ítem con la media más baja fue P10 (</w:t>
      </w:r>
      <w:r>
        <w:rPr>
          <w:rFonts w:ascii="Cambria Math" w:hAnsi="Cambria Math" w:cs="Cambria Math"/>
          <w:sz w:val="24"/>
          <w:szCs w:val="24"/>
        </w:rPr>
        <w:t>𝑥</w:t>
      </w:r>
      <w:r>
        <w:rPr>
          <w:rFonts w:ascii="Times New Roman" w:hAnsi="Times New Roman" w:cs="Times New Roman"/>
          <w:sz w:val="24"/>
          <w:szCs w:val="24"/>
        </w:rPr>
        <w:t>̄</w:t>
      </w:r>
      <w:r>
        <w:rPr>
          <w:rFonts w:ascii="Times New Roman" w:hAnsi="Times New Roman" w:cs="Times New Roman"/>
          <w:sz w:val="24"/>
          <w:szCs w:val="24"/>
        </w:rPr>
        <w:t xml:space="preserve"> = 2.611), lo que refleja que aún son pocos los profesores que permiten el uso de redes sociales directamente en sus clases, lo cual representa un espacio de mejora para la integración formal de estas herramientas. En contraste, el ítem con la media más alta correspondió a P1 (</w:t>
      </w:r>
      <w:r>
        <w:rPr>
          <w:rFonts w:ascii="Cambria Math" w:hAnsi="Cambria Math" w:cs="Cambria Math"/>
          <w:sz w:val="24"/>
          <w:szCs w:val="24"/>
        </w:rPr>
        <w:t>𝑥</w:t>
      </w:r>
      <w:r>
        <w:rPr>
          <w:rFonts w:ascii="Times New Roman" w:hAnsi="Times New Roman" w:cs="Times New Roman"/>
          <w:sz w:val="24"/>
          <w:szCs w:val="24"/>
        </w:rPr>
        <w:t>̄</w:t>
      </w:r>
      <w:r>
        <w:rPr>
          <w:rFonts w:ascii="Times New Roman" w:hAnsi="Times New Roman" w:cs="Times New Roman"/>
          <w:sz w:val="24"/>
          <w:szCs w:val="24"/>
        </w:rPr>
        <w:t xml:space="preserve"> = 3.194), indicando que los estudiantes utilizan con frecuencia las redes sociales para compartir archivos o información de tareas, confirmando su utilidad como recurso de apoyo académico entre los alumnos.</w:t>
      </w:r>
    </w:p>
    <w:p w14:paraId="1AABFB3C"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hAnsi="Times New Roman" w:cs="Times New Roman"/>
          <w:b/>
          <w:bCs/>
          <w:sz w:val="24"/>
          <w:szCs w:val="24"/>
        </w:rPr>
        <w:t>Tabla 9</w:t>
      </w:r>
    </w:p>
    <w:p w14:paraId="52D1F7E0" w14:textId="77777777" w:rsidR="000A0580" w:rsidRDefault="00A9180F">
      <w:pPr>
        <w:spacing w:after="0" w:line="480" w:lineRule="auto"/>
        <w:jc w:val="both"/>
        <w:rPr>
          <w:rFonts w:ascii="Times New Roman" w:eastAsia="Calibri" w:hAnsi="Times New Roman" w:cs="Times New Roman"/>
          <w:i/>
          <w:iCs/>
          <w:spacing w:val="-10"/>
          <w:sz w:val="24"/>
          <w:szCs w:val="24"/>
        </w:rPr>
      </w:pPr>
      <w:r>
        <w:rPr>
          <w:rFonts w:ascii="Times New Roman" w:eastAsia="Calibri" w:hAnsi="Times New Roman" w:cs="Times New Roman"/>
          <w:i/>
          <w:iCs/>
          <w:spacing w:val="-10"/>
          <w:sz w:val="24"/>
          <w:szCs w:val="24"/>
        </w:rPr>
        <w:t xml:space="preserve">Comparación de las medias poblacionales de las dimensiones uso de las redes sociales en el proceso de aprendizaje según el sexo de los estudiantes. </w:t>
      </w:r>
    </w:p>
    <w:tbl>
      <w:tblPr>
        <w:tblStyle w:val="Tablaconcuadrcula4"/>
        <w:tblW w:w="93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2"/>
        <w:gridCol w:w="1524"/>
        <w:gridCol w:w="1152"/>
        <w:gridCol w:w="1221"/>
        <w:gridCol w:w="1178"/>
        <w:gridCol w:w="1179"/>
        <w:gridCol w:w="1300"/>
      </w:tblGrid>
      <w:tr w:rsidR="000A0580" w14:paraId="05E8A2C5" w14:textId="77777777">
        <w:trPr>
          <w:trHeight w:val="1032"/>
          <w:jc w:val="center"/>
        </w:trPr>
        <w:tc>
          <w:tcPr>
            <w:tcW w:w="1822" w:type="dxa"/>
            <w:tcBorders>
              <w:top w:val="single" w:sz="4" w:space="0" w:color="auto"/>
              <w:bottom w:val="single" w:sz="4" w:space="0" w:color="auto"/>
            </w:tcBorders>
            <w:vAlign w:val="center"/>
          </w:tcPr>
          <w:p w14:paraId="5C1F265D"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Dimensión</w:t>
            </w:r>
          </w:p>
        </w:tc>
        <w:tc>
          <w:tcPr>
            <w:tcW w:w="1524" w:type="dxa"/>
            <w:tcBorders>
              <w:top w:val="single" w:sz="4" w:space="0" w:color="auto"/>
              <w:bottom w:val="single" w:sz="4" w:space="0" w:color="auto"/>
            </w:tcBorders>
            <w:vAlign w:val="center"/>
          </w:tcPr>
          <w:p w14:paraId="320F9D65"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Sexo</w:t>
            </w:r>
          </w:p>
        </w:tc>
        <w:tc>
          <w:tcPr>
            <w:tcW w:w="1152" w:type="dxa"/>
            <w:tcBorders>
              <w:top w:val="single" w:sz="4" w:space="0" w:color="auto"/>
              <w:bottom w:val="single" w:sz="4" w:space="0" w:color="auto"/>
            </w:tcBorders>
            <w:vAlign w:val="center"/>
          </w:tcPr>
          <w:p w14:paraId="1C15FCD7"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N</w:t>
            </w:r>
          </w:p>
        </w:tc>
        <w:tc>
          <w:tcPr>
            <w:tcW w:w="1221" w:type="dxa"/>
            <w:tcBorders>
              <w:top w:val="single" w:sz="4" w:space="0" w:color="auto"/>
              <w:bottom w:val="single" w:sz="4" w:space="0" w:color="auto"/>
            </w:tcBorders>
            <w:vAlign w:val="center"/>
          </w:tcPr>
          <w:p w14:paraId="12919315"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Media</w:t>
            </w:r>
          </w:p>
        </w:tc>
        <w:tc>
          <w:tcPr>
            <w:tcW w:w="1178" w:type="dxa"/>
            <w:tcBorders>
              <w:top w:val="single" w:sz="4" w:space="0" w:color="auto"/>
              <w:bottom w:val="single" w:sz="4" w:space="0" w:color="auto"/>
            </w:tcBorders>
            <w:vAlign w:val="center"/>
          </w:tcPr>
          <w:p w14:paraId="75C45156"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D.E.</w:t>
            </w:r>
          </w:p>
        </w:tc>
        <w:tc>
          <w:tcPr>
            <w:tcW w:w="1179" w:type="dxa"/>
            <w:tcBorders>
              <w:top w:val="single" w:sz="4" w:space="0" w:color="auto"/>
              <w:bottom w:val="single" w:sz="4" w:space="0" w:color="auto"/>
            </w:tcBorders>
            <w:vAlign w:val="center"/>
          </w:tcPr>
          <w:p w14:paraId="07713FBD"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t</w:t>
            </w:r>
          </w:p>
        </w:tc>
        <w:tc>
          <w:tcPr>
            <w:tcW w:w="1300" w:type="dxa"/>
            <w:tcBorders>
              <w:top w:val="single" w:sz="4" w:space="0" w:color="auto"/>
              <w:bottom w:val="single" w:sz="4" w:space="0" w:color="auto"/>
            </w:tcBorders>
            <w:vAlign w:val="center"/>
          </w:tcPr>
          <w:p w14:paraId="1EA6F3EE"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Sig. (bilateral)</w:t>
            </w:r>
          </w:p>
        </w:tc>
      </w:tr>
      <w:tr w:rsidR="000A0580" w14:paraId="1C0FCE99" w14:textId="77777777">
        <w:trPr>
          <w:trHeight w:val="522"/>
          <w:jc w:val="center"/>
        </w:trPr>
        <w:tc>
          <w:tcPr>
            <w:tcW w:w="1822" w:type="dxa"/>
            <w:vMerge w:val="restart"/>
            <w:tcBorders>
              <w:top w:val="single" w:sz="4" w:space="0" w:color="auto"/>
            </w:tcBorders>
            <w:vAlign w:val="center"/>
          </w:tcPr>
          <w:p w14:paraId="48B9009C"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Comunicación Académica</w:t>
            </w:r>
          </w:p>
        </w:tc>
        <w:tc>
          <w:tcPr>
            <w:tcW w:w="1524" w:type="dxa"/>
            <w:tcBorders>
              <w:top w:val="single" w:sz="4" w:space="0" w:color="auto"/>
            </w:tcBorders>
            <w:vAlign w:val="center"/>
          </w:tcPr>
          <w:p w14:paraId="7C593E7B"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52" w:type="dxa"/>
            <w:tcBorders>
              <w:top w:val="single" w:sz="4" w:space="0" w:color="auto"/>
            </w:tcBorders>
            <w:vAlign w:val="center"/>
          </w:tcPr>
          <w:p w14:paraId="06BEDE69"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221" w:type="dxa"/>
            <w:tcBorders>
              <w:top w:val="single" w:sz="4" w:space="0" w:color="auto"/>
            </w:tcBorders>
            <w:vAlign w:val="center"/>
          </w:tcPr>
          <w:p w14:paraId="63672102"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78" w:type="dxa"/>
            <w:tcBorders>
              <w:top w:val="single" w:sz="4" w:space="0" w:color="auto"/>
            </w:tcBorders>
            <w:vAlign w:val="center"/>
          </w:tcPr>
          <w:p w14:paraId="066A32C8"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79" w:type="dxa"/>
            <w:tcBorders>
              <w:top w:val="single" w:sz="4" w:space="0" w:color="auto"/>
            </w:tcBorders>
            <w:vAlign w:val="center"/>
          </w:tcPr>
          <w:p w14:paraId="332AC918"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MX"/>
              </w:rPr>
              <w:t>2.623</w:t>
            </w:r>
          </w:p>
        </w:tc>
        <w:tc>
          <w:tcPr>
            <w:tcW w:w="1300" w:type="dxa"/>
            <w:tcBorders>
              <w:top w:val="single" w:sz="4" w:space="0" w:color="auto"/>
            </w:tcBorders>
            <w:vAlign w:val="center"/>
          </w:tcPr>
          <w:p w14:paraId="0B717E88" w14:textId="77777777" w:rsidR="000A0580" w:rsidRDefault="00A9180F">
            <w:pPr>
              <w:spacing w:after="0" w:line="480" w:lineRule="auto"/>
              <w:jc w:val="center"/>
              <w:rPr>
                <w:rFonts w:ascii="Times New Roman" w:eastAsia="Calibri" w:hAnsi="Times New Roman" w:cs="Times New Roman"/>
                <w:b/>
                <w:bCs/>
                <w:sz w:val="24"/>
                <w:szCs w:val="24"/>
                <w:lang w:eastAsia="es-MX"/>
              </w:rPr>
            </w:pPr>
            <w:r>
              <w:rPr>
                <w:rFonts w:ascii="Times New Roman" w:eastAsia="Times New Roman" w:hAnsi="Times New Roman" w:cs="Times New Roman"/>
                <w:b/>
                <w:bCs/>
                <w:sz w:val="24"/>
                <w:szCs w:val="24"/>
                <w:lang w:eastAsia="es-ES"/>
              </w:rPr>
              <w:t>0.011*</w:t>
            </w:r>
          </w:p>
        </w:tc>
      </w:tr>
      <w:tr w:rsidR="000A0580" w14:paraId="4FC0E5B6" w14:textId="77777777">
        <w:trPr>
          <w:trHeight w:val="248"/>
          <w:jc w:val="center"/>
        </w:trPr>
        <w:tc>
          <w:tcPr>
            <w:tcW w:w="1822" w:type="dxa"/>
            <w:vMerge/>
            <w:vAlign w:val="center"/>
          </w:tcPr>
          <w:p w14:paraId="257576FC"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524" w:type="dxa"/>
            <w:vAlign w:val="center"/>
          </w:tcPr>
          <w:p w14:paraId="26626C41"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H</w:t>
            </w:r>
          </w:p>
        </w:tc>
        <w:tc>
          <w:tcPr>
            <w:tcW w:w="1152" w:type="dxa"/>
            <w:vAlign w:val="center"/>
          </w:tcPr>
          <w:p w14:paraId="28DFB0C3"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27</w:t>
            </w:r>
          </w:p>
        </w:tc>
        <w:tc>
          <w:tcPr>
            <w:tcW w:w="1221" w:type="dxa"/>
            <w:vAlign w:val="center"/>
          </w:tcPr>
          <w:p w14:paraId="288CF6B1"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2.733</w:t>
            </w:r>
          </w:p>
        </w:tc>
        <w:tc>
          <w:tcPr>
            <w:tcW w:w="1178" w:type="dxa"/>
            <w:vAlign w:val="center"/>
          </w:tcPr>
          <w:p w14:paraId="42E0B393"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0.607</w:t>
            </w:r>
          </w:p>
        </w:tc>
        <w:tc>
          <w:tcPr>
            <w:tcW w:w="1179" w:type="dxa"/>
            <w:vAlign w:val="center"/>
          </w:tcPr>
          <w:p w14:paraId="4155EEFC"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300" w:type="dxa"/>
            <w:vAlign w:val="center"/>
          </w:tcPr>
          <w:p w14:paraId="18BE188F" w14:textId="77777777" w:rsidR="000A0580" w:rsidRDefault="000A0580">
            <w:pPr>
              <w:spacing w:after="0" w:line="480" w:lineRule="auto"/>
              <w:jc w:val="center"/>
              <w:rPr>
                <w:rFonts w:ascii="Times New Roman" w:eastAsia="Calibri" w:hAnsi="Times New Roman" w:cs="Times New Roman"/>
                <w:b/>
                <w:bCs/>
                <w:sz w:val="24"/>
                <w:szCs w:val="24"/>
                <w:lang w:eastAsia="es-MX"/>
              </w:rPr>
            </w:pPr>
          </w:p>
        </w:tc>
      </w:tr>
      <w:tr w:rsidR="000A0580" w14:paraId="367C0106" w14:textId="77777777">
        <w:trPr>
          <w:trHeight w:val="148"/>
          <w:jc w:val="center"/>
        </w:trPr>
        <w:tc>
          <w:tcPr>
            <w:tcW w:w="1822" w:type="dxa"/>
            <w:vMerge/>
            <w:vAlign w:val="center"/>
          </w:tcPr>
          <w:p w14:paraId="36396710"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524" w:type="dxa"/>
            <w:vAlign w:val="center"/>
          </w:tcPr>
          <w:p w14:paraId="53339286"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M</w:t>
            </w:r>
          </w:p>
        </w:tc>
        <w:tc>
          <w:tcPr>
            <w:tcW w:w="1152" w:type="dxa"/>
            <w:vAlign w:val="center"/>
          </w:tcPr>
          <w:p w14:paraId="7C8903FB"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40</w:t>
            </w:r>
          </w:p>
        </w:tc>
        <w:tc>
          <w:tcPr>
            <w:tcW w:w="1221" w:type="dxa"/>
            <w:vAlign w:val="center"/>
          </w:tcPr>
          <w:p w14:paraId="2F6AA434"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2.270</w:t>
            </w:r>
          </w:p>
        </w:tc>
        <w:tc>
          <w:tcPr>
            <w:tcW w:w="1178" w:type="dxa"/>
            <w:vAlign w:val="center"/>
          </w:tcPr>
          <w:p w14:paraId="292A27A6"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0.769</w:t>
            </w:r>
          </w:p>
        </w:tc>
        <w:tc>
          <w:tcPr>
            <w:tcW w:w="1179" w:type="dxa"/>
            <w:vAlign w:val="center"/>
          </w:tcPr>
          <w:p w14:paraId="513FCD17"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300" w:type="dxa"/>
            <w:vAlign w:val="center"/>
          </w:tcPr>
          <w:p w14:paraId="17ABD7A1" w14:textId="77777777" w:rsidR="000A0580" w:rsidRDefault="000A0580">
            <w:pPr>
              <w:spacing w:after="0" w:line="480" w:lineRule="auto"/>
              <w:jc w:val="center"/>
              <w:rPr>
                <w:rFonts w:ascii="Times New Roman" w:eastAsia="Calibri" w:hAnsi="Times New Roman" w:cs="Times New Roman"/>
                <w:b/>
                <w:bCs/>
                <w:sz w:val="24"/>
                <w:szCs w:val="24"/>
                <w:lang w:eastAsia="es-MX"/>
              </w:rPr>
            </w:pPr>
          </w:p>
        </w:tc>
      </w:tr>
      <w:tr w:rsidR="000A0580" w14:paraId="2FEFCB0B" w14:textId="77777777">
        <w:trPr>
          <w:trHeight w:val="522"/>
          <w:jc w:val="center"/>
        </w:trPr>
        <w:tc>
          <w:tcPr>
            <w:tcW w:w="1822" w:type="dxa"/>
            <w:vMerge w:val="restart"/>
            <w:vAlign w:val="center"/>
          </w:tcPr>
          <w:p w14:paraId="4E400C3C"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Colaboración y Trabajo en Equipo</w:t>
            </w:r>
          </w:p>
        </w:tc>
        <w:tc>
          <w:tcPr>
            <w:tcW w:w="1524" w:type="dxa"/>
            <w:vAlign w:val="center"/>
          </w:tcPr>
          <w:p w14:paraId="0A223776"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52" w:type="dxa"/>
            <w:vAlign w:val="center"/>
          </w:tcPr>
          <w:p w14:paraId="5DB65F4A"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221" w:type="dxa"/>
            <w:vAlign w:val="center"/>
          </w:tcPr>
          <w:p w14:paraId="38728747"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78" w:type="dxa"/>
            <w:vAlign w:val="center"/>
          </w:tcPr>
          <w:p w14:paraId="1CBC9021"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79" w:type="dxa"/>
            <w:vAlign w:val="center"/>
          </w:tcPr>
          <w:p w14:paraId="08F1F398"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MX"/>
              </w:rPr>
              <w:t>2.083</w:t>
            </w:r>
          </w:p>
        </w:tc>
        <w:tc>
          <w:tcPr>
            <w:tcW w:w="1300" w:type="dxa"/>
            <w:vAlign w:val="center"/>
          </w:tcPr>
          <w:p w14:paraId="451ACB23" w14:textId="77777777" w:rsidR="000A0580" w:rsidRDefault="00A9180F">
            <w:pPr>
              <w:spacing w:after="0" w:line="480" w:lineRule="auto"/>
              <w:jc w:val="center"/>
              <w:rPr>
                <w:rFonts w:ascii="Times New Roman" w:eastAsia="Calibri" w:hAnsi="Times New Roman" w:cs="Times New Roman"/>
                <w:b/>
                <w:bCs/>
                <w:sz w:val="24"/>
                <w:szCs w:val="24"/>
                <w:lang w:eastAsia="es-MX"/>
              </w:rPr>
            </w:pPr>
            <w:r>
              <w:rPr>
                <w:rFonts w:ascii="Times New Roman" w:eastAsia="Times New Roman" w:hAnsi="Times New Roman" w:cs="Times New Roman"/>
                <w:b/>
                <w:bCs/>
                <w:sz w:val="24"/>
                <w:szCs w:val="24"/>
                <w:lang w:eastAsia="es-ES"/>
              </w:rPr>
              <w:t>0.041*</w:t>
            </w:r>
          </w:p>
        </w:tc>
      </w:tr>
      <w:tr w:rsidR="000A0580" w14:paraId="1DCBA662" w14:textId="77777777">
        <w:trPr>
          <w:trHeight w:val="522"/>
          <w:jc w:val="center"/>
        </w:trPr>
        <w:tc>
          <w:tcPr>
            <w:tcW w:w="1822" w:type="dxa"/>
            <w:vMerge/>
            <w:vAlign w:val="center"/>
          </w:tcPr>
          <w:p w14:paraId="1D4D29DC"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524" w:type="dxa"/>
            <w:vAlign w:val="center"/>
          </w:tcPr>
          <w:p w14:paraId="344B8DA0"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H</w:t>
            </w:r>
          </w:p>
        </w:tc>
        <w:tc>
          <w:tcPr>
            <w:tcW w:w="1152" w:type="dxa"/>
            <w:vAlign w:val="center"/>
          </w:tcPr>
          <w:p w14:paraId="51850F83"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27</w:t>
            </w:r>
          </w:p>
        </w:tc>
        <w:tc>
          <w:tcPr>
            <w:tcW w:w="1221" w:type="dxa"/>
            <w:vAlign w:val="center"/>
          </w:tcPr>
          <w:p w14:paraId="78B0ED01"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2.876</w:t>
            </w:r>
          </w:p>
        </w:tc>
        <w:tc>
          <w:tcPr>
            <w:tcW w:w="1178" w:type="dxa"/>
            <w:vAlign w:val="center"/>
          </w:tcPr>
          <w:p w14:paraId="36812617"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0.746</w:t>
            </w:r>
          </w:p>
        </w:tc>
        <w:tc>
          <w:tcPr>
            <w:tcW w:w="1179" w:type="dxa"/>
            <w:vAlign w:val="center"/>
          </w:tcPr>
          <w:p w14:paraId="139F1B65"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300" w:type="dxa"/>
            <w:vAlign w:val="center"/>
          </w:tcPr>
          <w:p w14:paraId="59EABFC4" w14:textId="77777777" w:rsidR="000A0580" w:rsidRDefault="000A0580">
            <w:pPr>
              <w:spacing w:after="0" w:line="480" w:lineRule="auto"/>
              <w:jc w:val="center"/>
              <w:rPr>
                <w:rFonts w:ascii="Times New Roman" w:eastAsia="Calibri" w:hAnsi="Times New Roman" w:cs="Times New Roman"/>
                <w:b/>
                <w:bCs/>
                <w:sz w:val="24"/>
                <w:szCs w:val="24"/>
                <w:lang w:eastAsia="es-MX"/>
              </w:rPr>
            </w:pPr>
          </w:p>
        </w:tc>
      </w:tr>
      <w:tr w:rsidR="000A0580" w14:paraId="2F5FDBA8" w14:textId="77777777">
        <w:trPr>
          <w:trHeight w:val="522"/>
          <w:jc w:val="center"/>
        </w:trPr>
        <w:tc>
          <w:tcPr>
            <w:tcW w:w="1822" w:type="dxa"/>
            <w:vMerge/>
            <w:vAlign w:val="center"/>
          </w:tcPr>
          <w:p w14:paraId="28BAD1D3"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524" w:type="dxa"/>
            <w:vAlign w:val="center"/>
          </w:tcPr>
          <w:p w14:paraId="2210456D"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M</w:t>
            </w:r>
          </w:p>
        </w:tc>
        <w:tc>
          <w:tcPr>
            <w:tcW w:w="1152" w:type="dxa"/>
            <w:vAlign w:val="center"/>
          </w:tcPr>
          <w:p w14:paraId="65441BCB"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40</w:t>
            </w:r>
          </w:p>
        </w:tc>
        <w:tc>
          <w:tcPr>
            <w:tcW w:w="1221" w:type="dxa"/>
            <w:vAlign w:val="center"/>
          </w:tcPr>
          <w:p w14:paraId="00EB399B"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2.441</w:t>
            </w:r>
          </w:p>
        </w:tc>
        <w:tc>
          <w:tcPr>
            <w:tcW w:w="1178" w:type="dxa"/>
            <w:vAlign w:val="center"/>
          </w:tcPr>
          <w:p w14:paraId="5B0D9047"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0.894</w:t>
            </w:r>
          </w:p>
        </w:tc>
        <w:tc>
          <w:tcPr>
            <w:tcW w:w="1179" w:type="dxa"/>
            <w:vAlign w:val="center"/>
          </w:tcPr>
          <w:p w14:paraId="3264CAA3"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300" w:type="dxa"/>
            <w:vAlign w:val="center"/>
          </w:tcPr>
          <w:p w14:paraId="5FBEA229" w14:textId="77777777" w:rsidR="000A0580" w:rsidRDefault="000A0580">
            <w:pPr>
              <w:spacing w:after="0" w:line="480" w:lineRule="auto"/>
              <w:jc w:val="center"/>
              <w:rPr>
                <w:rFonts w:ascii="Times New Roman" w:eastAsia="Calibri" w:hAnsi="Times New Roman" w:cs="Times New Roman"/>
                <w:b/>
                <w:bCs/>
                <w:sz w:val="24"/>
                <w:szCs w:val="24"/>
                <w:lang w:eastAsia="es-MX"/>
              </w:rPr>
            </w:pPr>
          </w:p>
        </w:tc>
      </w:tr>
      <w:tr w:rsidR="000A0580" w14:paraId="72548C24" w14:textId="77777777">
        <w:trPr>
          <w:trHeight w:val="522"/>
          <w:jc w:val="center"/>
        </w:trPr>
        <w:tc>
          <w:tcPr>
            <w:tcW w:w="1822" w:type="dxa"/>
            <w:vMerge w:val="restart"/>
            <w:vAlign w:val="center"/>
          </w:tcPr>
          <w:p w14:paraId="0B7A90EE"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Integración Institucional y Apoyo al Aprendizaje</w:t>
            </w:r>
          </w:p>
        </w:tc>
        <w:tc>
          <w:tcPr>
            <w:tcW w:w="1524" w:type="dxa"/>
            <w:vAlign w:val="center"/>
          </w:tcPr>
          <w:p w14:paraId="7816A637"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52" w:type="dxa"/>
            <w:vAlign w:val="center"/>
          </w:tcPr>
          <w:p w14:paraId="17F38F2F"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221" w:type="dxa"/>
            <w:vAlign w:val="center"/>
          </w:tcPr>
          <w:p w14:paraId="75C8B3A5"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78" w:type="dxa"/>
            <w:vAlign w:val="center"/>
          </w:tcPr>
          <w:p w14:paraId="2FA0BC46"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179" w:type="dxa"/>
            <w:vAlign w:val="center"/>
          </w:tcPr>
          <w:p w14:paraId="4463A285"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MX"/>
              </w:rPr>
              <w:t>1.577</w:t>
            </w:r>
          </w:p>
        </w:tc>
        <w:tc>
          <w:tcPr>
            <w:tcW w:w="1300" w:type="dxa"/>
            <w:vAlign w:val="center"/>
          </w:tcPr>
          <w:p w14:paraId="3D5EA108"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0.120</w:t>
            </w:r>
          </w:p>
        </w:tc>
      </w:tr>
      <w:tr w:rsidR="000A0580" w14:paraId="397526F3" w14:textId="77777777">
        <w:trPr>
          <w:trHeight w:val="522"/>
          <w:jc w:val="center"/>
        </w:trPr>
        <w:tc>
          <w:tcPr>
            <w:tcW w:w="1822" w:type="dxa"/>
            <w:vMerge/>
            <w:vAlign w:val="center"/>
          </w:tcPr>
          <w:p w14:paraId="309131EC"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524" w:type="dxa"/>
            <w:vAlign w:val="center"/>
          </w:tcPr>
          <w:p w14:paraId="4D34F357"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H</w:t>
            </w:r>
          </w:p>
        </w:tc>
        <w:tc>
          <w:tcPr>
            <w:tcW w:w="1152" w:type="dxa"/>
            <w:vAlign w:val="center"/>
          </w:tcPr>
          <w:p w14:paraId="03682AD3"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27</w:t>
            </w:r>
          </w:p>
        </w:tc>
        <w:tc>
          <w:tcPr>
            <w:tcW w:w="1221" w:type="dxa"/>
            <w:vAlign w:val="center"/>
          </w:tcPr>
          <w:p w14:paraId="4E3F8870"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2.987</w:t>
            </w:r>
          </w:p>
        </w:tc>
        <w:tc>
          <w:tcPr>
            <w:tcW w:w="1178" w:type="dxa"/>
            <w:vAlign w:val="center"/>
          </w:tcPr>
          <w:p w14:paraId="76621BD5"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0.630</w:t>
            </w:r>
          </w:p>
        </w:tc>
        <w:tc>
          <w:tcPr>
            <w:tcW w:w="1179" w:type="dxa"/>
            <w:vAlign w:val="center"/>
          </w:tcPr>
          <w:p w14:paraId="2CD2B0D8"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300" w:type="dxa"/>
            <w:vAlign w:val="center"/>
          </w:tcPr>
          <w:p w14:paraId="29D708B1" w14:textId="77777777" w:rsidR="000A0580" w:rsidRDefault="000A0580">
            <w:pPr>
              <w:spacing w:after="0" w:line="480" w:lineRule="auto"/>
              <w:jc w:val="center"/>
              <w:rPr>
                <w:rFonts w:ascii="Times New Roman" w:eastAsia="Calibri" w:hAnsi="Times New Roman" w:cs="Times New Roman"/>
                <w:sz w:val="24"/>
                <w:szCs w:val="24"/>
                <w:lang w:eastAsia="es-MX"/>
              </w:rPr>
            </w:pPr>
          </w:p>
        </w:tc>
      </w:tr>
      <w:tr w:rsidR="000A0580" w14:paraId="4D6DDAA0" w14:textId="77777777">
        <w:trPr>
          <w:trHeight w:val="522"/>
          <w:jc w:val="center"/>
        </w:trPr>
        <w:tc>
          <w:tcPr>
            <w:tcW w:w="1822" w:type="dxa"/>
            <w:vMerge/>
            <w:vAlign w:val="center"/>
          </w:tcPr>
          <w:p w14:paraId="5E63F80A"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524" w:type="dxa"/>
            <w:vAlign w:val="center"/>
          </w:tcPr>
          <w:p w14:paraId="3C2F8794"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M</w:t>
            </w:r>
          </w:p>
        </w:tc>
        <w:tc>
          <w:tcPr>
            <w:tcW w:w="1152" w:type="dxa"/>
            <w:vAlign w:val="center"/>
          </w:tcPr>
          <w:p w14:paraId="0670FA7B"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Calibri" w:hAnsi="Times New Roman" w:cs="Times New Roman"/>
                <w:sz w:val="24"/>
                <w:szCs w:val="24"/>
                <w:lang w:eastAsia="es-MX"/>
              </w:rPr>
              <w:t>40</w:t>
            </w:r>
          </w:p>
        </w:tc>
        <w:tc>
          <w:tcPr>
            <w:tcW w:w="1221" w:type="dxa"/>
            <w:vAlign w:val="center"/>
          </w:tcPr>
          <w:p w14:paraId="3745FFA0"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2.273</w:t>
            </w:r>
          </w:p>
        </w:tc>
        <w:tc>
          <w:tcPr>
            <w:tcW w:w="1178" w:type="dxa"/>
            <w:vAlign w:val="center"/>
          </w:tcPr>
          <w:p w14:paraId="136C66C8" w14:textId="77777777" w:rsidR="000A0580" w:rsidRDefault="00A9180F">
            <w:pPr>
              <w:spacing w:after="0" w:line="480" w:lineRule="auto"/>
              <w:jc w:val="center"/>
              <w:rPr>
                <w:rFonts w:ascii="Times New Roman" w:eastAsia="Calibri" w:hAnsi="Times New Roman" w:cs="Times New Roman"/>
                <w:sz w:val="24"/>
                <w:szCs w:val="24"/>
                <w:lang w:eastAsia="es-MX"/>
              </w:rPr>
            </w:pPr>
            <w:r>
              <w:rPr>
                <w:rFonts w:ascii="Times New Roman" w:eastAsia="Times New Roman" w:hAnsi="Times New Roman" w:cs="Times New Roman"/>
                <w:sz w:val="24"/>
                <w:szCs w:val="24"/>
                <w:lang w:eastAsia="es-ES"/>
              </w:rPr>
              <w:t>0.658</w:t>
            </w:r>
          </w:p>
        </w:tc>
        <w:tc>
          <w:tcPr>
            <w:tcW w:w="1179" w:type="dxa"/>
            <w:vAlign w:val="center"/>
          </w:tcPr>
          <w:p w14:paraId="40AFCF56" w14:textId="77777777" w:rsidR="000A0580" w:rsidRDefault="000A0580">
            <w:pPr>
              <w:spacing w:after="0" w:line="480" w:lineRule="auto"/>
              <w:jc w:val="center"/>
              <w:rPr>
                <w:rFonts w:ascii="Times New Roman" w:eastAsia="Calibri" w:hAnsi="Times New Roman" w:cs="Times New Roman"/>
                <w:sz w:val="24"/>
                <w:szCs w:val="24"/>
                <w:lang w:eastAsia="es-MX"/>
              </w:rPr>
            </w:pPr>
          </w:p>
        </w:tc>
        <w:tc>
          <w:tcPr>
            <w:tcW w:w="1300" w:type="dxa"/>
            <w:vAlign w:val="center"/>
          </w:tcPr>
          <w:p w14:paraId="33B1F76D" w14:textId="77777777" w:rsidR="000A0580" w:rsidRDefault="000A0580">
            <w:pPr>
              <w:spacing w:after="0" w:line="480" w:lineRule="auto"/>
              <w:jc w:val="center"/>
              <w:rPr>
                <w:rFonts w:ascii="Times New Roman" w:eastAsia="Calibri" w:hAnsi="Times New Roman" w:cs="Times New Roman"/>
                <w:sz w:val="24"/>
                <w:szCs w:val="24"/>
                <w:lang w:eastAsia="es-MX"/>
              </w:rPr>
            </w:pPr>
          </w:p>
        </w:tc>
      </w:tr>
    </w:tbl>
    <w:p w14:paraId="0A6917A7" w14:textId="77777777" w:rsidR="000A0580" w:rsidRDefault="00A9180F">
      <w:pPr>
        <w:pBdr>
          <w:top w:val="single" w:sz="4" w:space="1" w:color="auto"/>
        </w:pBdr>
        <w:spacing w:after="0" w:line="240" w:lineRule="auto"/>
        <w:jc w:val="both"/>
        <w:rPr>
          <w:rFonts w:ascii="Times New Roman" w:eastAsia="Calibri" w:hAnsi="Times New Roman" w:cs="Times New Roman"/>
          <w:spacing w:val="-10"/>
          <w:kern w:val="28"/>
          <w:sz w:val="24"/>
          <w:szCs w:val="24"/>
          <w14:ligatures w14:val="standardContextual"/>
        </w:rPr>
      </w:pPr>
      <w:r>
        <w:rPr>
          <w:rFonts w:ascii="Times New Roman" w:eastAsia="Calibri" w:hAnsi="Times New Roman" w:cs="Times New Roman"/>
          <w:spacing w:val="-10"/>
          <w:kern w:val="28"/>
          <w:sz w:val="24"/>
          <w:szCs w:val="24"/>
          <w14:ligatures w14:val="standardContextual"/>
        </w:rPr>
        <w:t>Nota: *p≤.05 Fuente: elaboración propia.</w:t>
      </w:r>
    </w:p>
    <w:p w14:paraId="7CBD07E1" w14:textId="77777777" w:rsidR="000A0580" w:rsidRDefault="000A0580">
      <w:pPr>
        <w:spacing w:after="0" w:line="480" w:lineRule="auto"/>
        <w:jc w:val="both"/>
        <w:rPr>
          <w:rFonts w:ascii="Times New Roman" w:hAnsi="Times New Roman" w:cs="Times New Roman"/>
          <w:sz w:val="24"/>
          <w:szCs w:val="24"/>
        </w:rPr>
      </w:pPr>
    </w:p>
    <w:p w14:paraId="7AE43500" w14:textId="77777777" w:rsidR="000A0580" w:rsidRDefault="00A9180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Los resultados de la prueba t de Student evidencian diferencias estadísticamente significativas en dos dimensiones. En la dimensión de Comunicación Académica, los hombres alcanzaron una media de 2.733, mientras que las mujeres reportaron 2.270 (Sig. = 0.011), lo que indica que los varones utilizan con mayor frecuencia las redes sociales para comunicarse con docentes y compañeros. De manera similar, en la dimensión de Colaboración y Trabajo en Equipo también se observó una diferencia significativa (Sig. = 0.</w:t>
      </w:r>
      <w:r>
        <w:rPr>
          <w:rFonts w:ascii="Times New Roman" w:hAnsi="Times New Roman" w:cs="Times New Roman"/>
          <w:sz w:val="24"/>
          <w:szCs w:val="24"/>
        </w:rPr>
        <w:t>041), con una media de 2.876 en hombres frente a 2.441 en mujeres, lo que sugiere que los estudiantes varones emplean más estas plataformas para coordinar actividades grupales.</w:t>
      </w:r>
    </w:p>
    <w:p w14:paraId="1FD2415B" w14:textId="77777777" w:rsidR="000A0580" w:rsidRDefault="00A9180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En cambio, la dimensión de Integración Institucional y Apoyo al Aprendizaje no presentó diferencias significativas entre hombres y mujeres (Sig. = 0.120), lo que indica que ambos grupos perciben de manera similar el uso de las redes sociales como recurso académico institucional.</w:t>
      </w:r>
    </w:p>
    <w:p w14:paraId="6021F961" w14:textId="77777777" w:rsidR="000A0580" w:rsidRDefault="000A0580">
      <w:pPr>
        <w:spacing w:after="0" w:line="480" w:lineRule="auto"/>
        <w:jc w:val="both"/>
        <w:rPr>
          <w:rFonts w:ascii="Times New Roman" w:hAnsi="Times New Roman" w:cs="Times New Roman"/>
          <w:sz w:val="24"/>
          <w:szCs w:val="24"/>
        </w:rPr>
      </w:pPr>
    </w:p>
    <w:p w14:paraId="1268D65B" w14:textId="77777777" w:rsidR="000A0580" w:rsidRDefault="00A9180F">
      <w:pPr>
        <w:spacing w:line="480" w:lineRule="auto"/>
        <w:jc w:val="both"/>
        <w:rPr>
          <w:rFonts w:ascii="Times New Roman" w:hAnsi="Times New Roman" w:cs="Times New Roman"/>
          <w:b/>
          <w:bCs/>
          <w:sz w:val="24"/>
          <w:szCs w:val="24"/>
        </w:rPr>
      </w:pPr>
      <w:bookmarkStart w:id="28" w:name="_Hlk175922277"/>
      <w:bookmarkEnd w:id="27"/>
      <w:r>
        <w:rPr>
          <w:rFonts w:ascii="Times New Roman" w:hAnsi="Times New Roman" w:cs="Times New Roman"/>
          <w:b/>
          <w:bCs/>
          <w:sz w:val="24"/>
          <w:szCs w:val="24"/>
        </w:rPr>
        <w:t>Tabla 10</w:t>
      </w:r>
    </w:p>
    <w:p w14:paraId="5AF42BE9" w14:textId="77777777" w:rsidR="000A0580" w:rsidRDefault="00A9180F">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Correlación de las dimensiones del uso de redes sociales en el proceso de aprendizaje con variables sociodemográficas. </w:t>
      </w:r>
    </w:p>
    <w:tbl>
      <w:tblPr>
        <w:tblStyle w:val="Tablaconcuadrcula3"/>
        <w:tblW w:w="0" w:type="auto"/>
        <w:tblLook w:val="04A0" w:firstRow="1" w:lastRow="0" w:firstColumn="1" w:lastColumn="0" w:noHBand="0" w:noVBand="1"/>
      </w:tblPr>
      <w:tblGrid>
        <w:gridCol w:w="1572"/>
        <w:gridCol w:w="1469"/>
        <w:gridCol w:w="1162"/>
        <w:gridCol w:w="1260"/>
        <w:gridCol w:w="1261"/>
        <w:gridCol w:w="1260"/>
        <w:gridCol w:w="232"/>
        <w:gridCol w:w="1132"/>
      </w:tblGrid>
      <w:tr w:rsidR="000A0580" w14:paraId="7EB85781" w14:textId="77777777">
        <w:trPr>
          <w:trHeight w:val="309"/>
        </w:trPr>
        <w:tc>
          <w:tcPr>
            <w:tcW w:w="1572" w:type="dxa"/>
            <w:tcBorders>
              <w:top w:val="single" w:sz="4" w:space="0" w:color="auto"/>
              <w:left w:val="nil"/>
              <w:bottom w:val="single" w:sz="4" w:space="0" w:color="auto"/>
              <w:right w:val="nil"/>
            </w:tcBorders>
            <w:noWrap/>
          </w:tcPr>
          <w:p w14:paraId="64457517" w14:textId="77777777" w:rsidR="000A0580" w:rsidRDefault="000A0580">
            <w:pPr>
              <w:spacing w:after="0" w:line="480" w:lineRule="auto"/>
              <w:rPr>
                <w:rFonts w:ascii="Times New Roman" w:eastAsia="Arial" w:hAnsi="Times New Roman" w:cs="Times New Roman"/>
                <w:sz w:val="24"/>
                <w:szCs w:val="24"/>
                <w:lang w:eastAsia="es-MX"/>
              </w:rPr>
            </w:pPr>
            <w:bookmarkStart w:id="29" w:name="_Hlk175922294"/>
            <w:bookmarkEnd w:id="28"/>
          </w:p>
        </w:tc>
        <w:tc>
          <w:tcPr>
            <w:tcW w:w="1469" w:type="dxa"/>
            <w:tcBorders>
              <w:top w:val="single" w:sz="4" w:space="0" w:color="auto"/>
              <w:left w:val="nil"/>
              <w:bottom w:val="single" w:sz="4" w:space="0" w:color="auto"/>
              <w:right w:val="nil"/>
            </w:tcBorders>
            <w:noWrap/>
          </w:tcPr>
          <w:p w14:paraId="57A9DF53"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CA</w:t>
            </w:r>
          </w:p>
        </w:tc>
        <w:tc>
          <w:tcPr>
            <w:tcW w:w="1162" w:type="dxa"/>
            <w:tcBorders>
              <w:top w:val="single" w:sz="4" w:space="0" w:color="auto"/>
              <w:left w:val="nil"/>
              <w:bottom w:val="single" w:sz="4" w:space="0" w:color="auto"/>
              <w:right w:val="nil"/>
            </w:tcBorders>
            <w:noWrap/>
          </w:tcPr>
          <w:p w14:paraId="2AE9698A"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CT</w:t>
            </w:r>
          </w:p>
        </w:tc>
        <w:tc>
          <w:tcPr>
            <w:tcW w:w="1260" w:type="dxa"/>
            <w:tcBorders>
              <w:top w:val="single" w:sz="4" w:space="0" w:color="auto"/>
              <w:left w:val="nil"/>
              <w:bottom w:val="single" w:sz="4" w:space="0" w:color="auto"/>
              <w:right w:val="nil"/>
            </w:tcBorders>
            <w:noWrap/>
          </w:tcPr>
          <w:p w14:paraId="5782ACAC"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IA</w:t>
            </w:r>
          </w:p>
        </w:tc>
        <w:tc>
          <w:tcPr>
            <w:tcW w:w="1261" w:type="dxa"/>
            <w:tcBorders>
              <w:top w:val="single" w:sz="4" w:space="0" w:color="auto"/>
              <w:left w:val="nil"/>
              <w:bottom w:val="single" w:sz="4" w:space="0" w:color="auto"/>
              <w:right w:val="nil"/>
            </w:tcBorders>
            <w:noWrap/>
          </w:tcPr>
          <w:p w14:paraId="4B271EA5"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PR</w:t>
            </w:r>
          </w:p>
        </w:tc>
        <w:tc>
          <w:tcPr>
            <w:tcW w:w="1260" w:type="dxa"/>
            <w:tcBorders>
              <w:top w:val="single" w:sz="4" w:space="0" w:color="auto"/>
              <w:left w:val="nil"/>
              <w:bottom w:val="single" w:sz="4" w:space="0" w:color="auto"/>
              <w:right w:val="nil"/>
            </w:tcBorders>
            <w:noWrap/>
          </w:tcPr>
          <w:p w14:paraId="36CF89D1"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ED</w:t>
            </w:r>
          </w:p>
        </w:tc>
        <w:tc>
          <w:tcPr>
            <w:tcW w:w="1364" w:type="dxa"/>
            <w:gridSpan w:val="2"/>
            <w:tcBorders>
              <w:top w:val="single" w:sz="4" w:space="0" w:color="auto"/>
              <w:left w:val="nil"/>
              <w:bottom w:val="single" w:sz="4" w:space="0" w:color="auto"/>
              <w:right w:val="nil"/>
            </w:tcBorders>
            <w:noWrap/>
          </w:tcPr>
          <w:p w14:paraId="52E6E3A7" w14:textId="77777777" w:rsidR="000A0580" w:rsidRDefault="00A9180F">
            <w:pPr>
              <w:spacing w:after="0" w:line="480" w:lineRule="auto"/>
              <w:rPr>
                <w:rFonts w:ascii="Times New Roman" w:eastAsia="Arial" w:hAnsi="Times New Roman" w:cs="Times New Roman"/>
                <w:b/>
                <w:bCs/>
                <w:i/>
                <w:iCs/>
                <w:sz w:val="24"/>
                <w:szCs w:val="24"/>
                <w:lang w:eastAsia="es-MX"/>
              </w:rPr>
            </w:pPr>
            <w:r>
              <w:rPr>
                <w:rFonts w:ascii="Times New Roman" w:eastAsia="Arial" w:hAnsi="Times New Roman" w:cs="Times New Roman"/>
                <w:b/>
                <w:bCs/>
                <w:i/>
                <w:iCs/>
                <w:sz w:val="24"/>
                <w:szCs w:val="24"/>
                <w:lang w:eastAsia="es-MX"/>
              </w:rPr>
              <w:t>SE</w:t>
            </w:r>
          </w:p>
        </w:tc>
      </w:tr>
      <w:tr w:rsidR="000A0580" w14:paraId="4A2234A3" w14:textId="77777777">
        <w:trPr>
          <w:trHeight w:val="309"/>
        </w:trPr>
        <w:tc>
          <w:tcPr>
            <w:tcW w:w="1572" w:type="dxa"/>
            <w:tcBorders>
              <w:top w:val="single" w:sz="4" w:space="0" w:color="auto"/>
              <w:left w:val="nil"/>
              <w:bottom w:val="nil"/>
              <w:right w:val="nil"/>
            </w:tcBorders>
            <w:noWrap/>
          </w:tcPr>
          <w:p w14:paraId="0101E7E7"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CA</w:t>
            </w:r>
          </w:p>
        </w:tc>
        <w:tc>
          <w:tcPr>
            <w:tcW w:w="1469" w:type="dxa"/>
            <w:tcBorders>
              <w:top w:val="single" w:sz="4" w:space="0" w:color="auto"/>
              <w:left w:val="nil"/>
              <w:bottom w:val="nil"/>
              <w:right w:val="nil"/>
            </w:tcBorders>
            <w:noWrap/>
          </w:tcPr>
          <w:p w14:paraId="412A3BF2"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1</w:t>
            </w:r>
          </w:p>
        </w:tc>
        <w:tc>
          <w:tcPr>
            <w:tcW w:w="1162" w:type="dxa"/>
            <w:tcBorders>
              <w:top w:val="single" w:sz="4" w:space="0" w:color="auto"/>
              <w:left w:val="nil"/>
              <w:bottom w:val="nil"/>
              <w:right w:val="nil"/>
            </w:tcBorders>
            <w:noWrap/>
          </w:tcPr>
          <w:p w14:paraId="0C4A8125"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.721**</w:t>
            </w:r>
          </w:p>
        </w:tc>
        <w:tc>
          <w:tcPr>
            <w:tcW w:w="1260" w:type="dxa"/>
            <w:tcBorders>
              <w:top w:val="single" w:sz="4" w:space="0" w:color="auto"/>
              <w:left w:val="nil"/>
              <w:bottom w:val="nil"/>
              <w:right w:val="nil"/>
            </w:tcBorders>
            <w:noWrap/>
          </w:tcPr>
          <w:p w14:paraId="2149194C"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.670**</w:t>
            </w:r>
          </w:p>
        </w:tc>
        <w:tc>
          <w:tcPr>
            <w:tcW w:w="1261" w:type="dxa"/>
            <w:tcBorders>
              <w:top w:val="single" w:sz="4" w:space="0" w:color="auto"/>
              <w:left w:val="nil"/>
              <w:bottom w:val="nil"/>
              <w:right w:val="nil"/>
            </w:tcBorders>
            <w:noWrap/>
          </w:tcPr>
          <w:p w14:paraId="0C5C3C93"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-.327**</w:t>
            </w:r>
          </w:p>
        </w:tc>
        <w:tc>
          <w:tcPr>
            <w:tcW w:w="1260" w:type="dxa"/>
            <w:tcBorders>
              <w:top w:val="single" w:sz="4" w:space="0" w:color="auto"/>
              <w:left w:val="nil"/>
              <w:bottom w:val="nil"/>
              <w:right w:val="nil"/>
            </w:tcBorders>
            <w:noWrap/>
          </w:tcPr>
          <w:p w14:paraId="498C7D36"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-0.170</w:t>
            </w:r>
          </w:p>
        </w:tc>
        <w:tc>
          <w:tcPr>
            <w:tcW w:w="1364" w:type="dxa"/>
            <w:gridSpan w:val="2"/>
            <w:tcBorders>
              <w:top w:val="single" w:sz="4" w:space="0" w:color="auto"/>
              <w:left w:val="nil"/>
              <w:bottom w:val="nil"/>
              <w:right w:val="nil"/>
            </w:tcBorders>
            <w:noWrap/>
          </w:tcPr>
          <w:p w14:paraId="2DAC6818"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-0.069</w:t>
            </w:r>
          </w:p>
        </w:tc>
      </w:tr>
      <w:tr w:rsidR="000A0580" w14:paraId="17065655" w14:textId="77777777">
        <w:trPr>
          <w:trHeight w:val="309"/>
        </w:trPr>
        <w:tc>
          <w:tcPr>
            <w:tcW w:w="1572" w:type="dxa"/>
            <w:tcBorders>
              <w:top w:val="nil"/>
              <w:left w:val="nil"/>
              <w:bottom w:val="nil"/>
              <w:right w:val="nil"/>
            </w:tcBorders>
            <w:noWrap/>
          </w:tcPr>
          <w:p w14:paraId="1D4A3BD7"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CT</w:t>
            </w:r>
          </w:p>
        </w:tc>
        <w:tc>
          <w:tcPr>
            <w:tcW w:w="1469" w:type="dxa"/>
            <w:tcBorders>
              <w:top w:val="nil"/>
              <w:left w:val="nil"/>
              <w:bottom w:val="nil"/>
              <w:right w:val="nil"/>
            </w:tcBorders>
            <w:noWrap/>
          </w:tcPr>
          <w:p w14:paraId="43E66CCA" w14:textId="77777777" w:rsidR="000A0580" w:rsidRDefault="000A0580">
            <w:pPr>
              <w:spacing w:after="0" w:line="480" w:lineRule="auto"/>
              <w:rPr>
                <w:rFonts w:ascii="Times New Roman" w:eastAsia="Arial" w:hAnsi="Times New Roman" w:cs="Times New Roman"/>
                <w:sz w:val="24"/>
                <w:szCs w:val="24"/>
                <w:lang w:eastAsia="es-MX"/>
              </w:rPr>
            </w:pPr>
          </w:p>
        </w:tc>
        <w:tc>
          <w:tcPr>
            <w:tcW w:w="1162" w:type="dxa"/>
            <w:tcBorders>
              <w:top w:val="nil"/>
              <w:left w:val="nil"/>
              <w:bottom w:val="nil"/>
              <w:right w:val="nil"/>
            </w:tcBorders>
            <w:noWrap/>
          </w:tcPr>
          <w:p w14:paraId="79E8585F"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1</w:t>
            </w:r>
          </w:p>
        </w:tc>
        <w:tc>
          <w:tcPr>
            <w:tcW w:w="1260" w:type="dxa"/>
            <w:tcBorders>
              <w:top w:val="nil"/>
              <w:left w:val="nil"/>
              <w:bottom w:val="nil"/>
              <w:right w:val="nil"/>
            </w:tcBorders>
            <w:noWrap/>
          </w:tcPr>
          <w:p w14:paraId="6193304B"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.593**</w:t>
            </w:r>
          </w:p>
        </w:tc>
        <w:tc>
          <w:tcPr>
            <w:tcW w:w="1261" w:type="dxa"/>
            <w:tcBorders>
              <w:top w:val="nil"/>
              <w:left w:val="nil"/>
              <w:bottom w:val="nil"/>
              <w:right w:val="nil"/>
            </w:tcBorders>
            <w:noWrap/>
          </w:tcPr>
          <w:p w14:paraId="66B089C8"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-0.155</w:t>
            </w:r>
          </w:p>
        </w:tc>
        <w:tc>
          <w:tcPr>
            <w:tcW w:w="1260" w:type="dxa"/>
            <w:tcBorders>
              <w:top w:val="nil"/>
              <w:left w:val="nil"/>
              <w:bottom w:val="nil"/>
              <w:right w:val="nil"/>
            </w:tcBorders>
            <w:noWrap/>
          </w:tcPr>
          <w:p w14:paraId="1DA2A403"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0.082</w:t>
            </w:r>
          </w:p>
        </w:tc>
        <w:tc>
          <w:tcPr>
            <w:tcW w:w="1364" w:type="dxa"/>
            <w:gridSpan w:val="2"/>
            <w:tcBorders>
              <w:top w:val="nil"/>
              <w:left w:val="nil"/>
              <w:bottom w:val="nil"/>
              <w:right w:val="nil"/>
            </w:tcBorders>
            <w:noWrap/>
          </w:tcPr>
          <w:p w14:paraId="037ABF37"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0.184</w:t>
            </w:r>
          </w:p>
        </w:tc>
      </w:tr>
      <w:tr w:rsidR="000A0580" w14:paraId="290821F5" w14:textId="77777777">
        <w:trPr>
          <w:trHeight w:val="309"/>
        </w:trPr>
        <w:tc>
          <w:tcPr>
            <w:tcW w:w="1572" w:type="dxa"/>
            <w:tcBorders>
              <w:top w:val="nil"/>
              <w:left w:val="nil"/>
              <w:bottom w:val="nil"/>
              <w:right w:val="nil"/>
            </w:tcBorders>
            <w:noWrap/>
          </w:tcPr>
          <w:p w14:paraId="692ABAF1"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IA</w:t>
            </w:r>
          </w:p>
        </w:tc>
        <w:tc>
          <w:tcPr>
            <w:tcW w:w="1469" w:type="dxa"/>
            <w:tcBorders>
              <w:top w:val="nil"/>
              <w:left w:val="nil"/>
              <w:bottom w:val="nil"/>
              <w:right w:val="nil"/>
            </w:tcBorders>
            <w:noWrap/>
          </w:tcPr>
          <w:p w14:paraId="27529501" w14:textId="77777777" w:rsidR="000A0580" w:rsidRDefault="000A0580">
            <w:pPr>
              <w:spacing w:after="0" w:line="480" w:lineRule="auto"/>
              <w:rPr>
                <w:rFonts w:ascii="Times New Roman" w:eastAsia="Arial" w:hAnsi="Times New Roman" w:cs="Times New Roman"/>
                <w:sz w:val="24"/>
                <w:szCs w:val="24"/>
                <w:lang w:eastAsia="es-MX"/>
              </w:rPr>
            </w:pPr>
          </w:p>
        </w:tc>
        <w:tc>
          <w:tcPr>
            <w:tcW w:w="1162" w:type="dxa"/>
            <w:tcBorders>
              <w:top w:val="nil"/>
              <w:left w:val="nil"/>
              <w:bottom w:val="nil"/>
              <w:right w:val="nil"/>
            </w:tcBorders>
            <w:noWrap/>
          </w:tcPr>
          <w:p w14:paraId="262B1EF5" w14:textId="77777777" w:rsidR="000A0580" w:rsidRDefault="000A0580">
            <w:pPr>
              <w:spacing w:after="0" w:line="480" w:lineRule="auto"/>
              <w:rPr>
                <w:rFonts w:ascii="Times New Roman" w:eastAsia="Arial" w:hAnsi="Times New Roman" w:cs="Times New Roman"/>
                <w:sz w:val="24"/>
                <w:szCs w:val="24"/>
                <w:lang w:eastAsia="es-MX"/>
              </w:rPr>
            </w:pPr>
          </w:p>
        </w:tc>
        <w:tc>
          <w:tcPr>
            <w:tcW w:w="1260" w:type="dxa"/>
            <w:tcBorders>
              <w:top w:val="nil"/>
              <w:left w:val="nil"/>
              <w:bottom w:val="nil"/>
              <w:right w:val="nil"/>
            </w:tcBorders>
            <w:noWrap/>
          </w:tcPr>
          <w:p w14:paraId="5F4F5D71"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1</w:t>
            </w:r>
          </w:p>
        </w:tc>
        <w:tc>
          <w:tcPr>
            <w:tcW w:w="1261" w:type="dxa"/>
            <w:tcBorders>
              <w:top w:val="nil"/>
              <w:left w:val="nil"/>
              <w:bottom w:val="nil"/>
              <w:right w:val="nil"/>
            </w:tcBorders>
            <w:noWrap/>
          </w:tcPr>
          <w:p w14:paraId="02C099FC"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-0.129</w:t>
            </w:r>
          </w:p>
        </w:tc>
        <w:tc>
          <w:tcPr>
            <w:tcW w:w="1260" w:type="dxa"/>
            <w:tcBorders>
              <w:top w:val="nil"/>
              <w:left w:val="nil"/>
              <w:bottom w:val="nil"/>
              <w:right w:val="nil"/>
            </w:tcBorders>
            <w:noWrap/>
          </w:tcPr>
          <w:p w14:paraId="31E01B89"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-0.090</w:t>
            </w:r>
          </w:p>
        </w:tc>
        <w:tc>
          <w:tcPr>
            <w:tcW w:w="1364" w:type="dxa"/>
            <w:gridSpan w:val="2"/>
            <w:tcBorders>
              <w:top w:val="nil"/>
              <w:left w:val="nil"/>
              <w:bottom w:val="nil"/>
              <w:right w:val="nil"/>
            </w:tcBorders>
            <w:noWrap/>
          </w:tcPr>
          <w:p w14:paraId="7D8D1914"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0.051</w:t>
            </w:r>
          </w:p>
        </w:tc>
      </w:tr>
      <w:tr w:rsidR="000A0580" w14:paraId="1F7E246D" w14:textId="77777777">
        <w:trPr>
          <w:trHeight w:val="309"/>
        </w:trPr>
        <w:tc>
          <w:tcPr>
            <w:tcW w:w="1572" w:type="dxa"/>
            <w:tcBorders>
              <w:top w:val="nil"/>
              <w:left w:val="nil"/>
              <w:bottom w:val="nil"/>
              <w:right w:val="nil"/>
            </w:tcBorders>
            <w:noWrap/>
          </w:tcPr>
          <w:p w14:paraId="380B7A10"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PR</w:t>
            </w:r>
          </w:p>
        </w:tc>
        <w:tc>
          <w:tcPr>
            <w:tcW w:w="1469" w:type="dxa"/>
            <w:tcBorders>
              <w:top w:val="nil"/>
              <w:left w:val="nil"/>
              <w:bottom w:val="nil"/>
              <w:right w:val="nil"/>
            </w:tcBorders>
            <w:noWrap/>
          </w:tcPr>
          <w:p w14:paraId="2B568B49" w14:textId="77777777" w:rsidR="000A0580" w:rsidRDefault="000A0580">
            <w:pPr>
              <w:spacing w:after="0" w:line="480" w:lineRule="auto"/>
              <w:rPr>
                <w:rFonts w:ascii="Times New Roman" w:eastAsia="Arial" w:hAnsi="Times New Roman" w:cs="Times New Roman"/>
                <w:sz w:val="24"/>
                <w:szCs w:val="24"/>
                <w:lang w:eastAsia="es-MX"/>
              </w:rPr>
            </w:pPr>
          </w:p>
        </w:tc>
        <w:tc>
          <w:tcPr>
            <w:tcW w:w="1162" w:type="dxa"/>
            <w:tcBorders>
              <w:top w:val="nil"/>
              <w:left w:val="nil"/>
              <w:bottom w:val="nil"/>
              <w:right w:val="nil"/>
            </w:tcBorders>
            <w:noWrap/>
          </w:tcPr>
          <w:p w14:paraId="322A3055" w14:textId="77777777" w:rsidR="000A0580" w:rsidRDefault="000A0580">
            <w:pPr>
              <w:spacing w:after="0" w:line="480" w:lineRule="auto"/>
              <w:rPr>
                <w:rFonts w:ascii="Times New Roman" w:eastAsia="Arial" w:hAnsi="Times New Roman" w:cs="Times New Roman"/>
                <w:sz w:val="24"/>
                <w:szCs w:val="24"/>
                <w:lang w:eastAsia="es-MX"/>
              </w:rPr>
            </w:pPr>
          </w:p>
        </w:tc>
        <w:tc>
          <w:tcPr>
            <w:tcW w:w="1260" w:type="dxa"/>
            <w:tcBorders>
              <w:top w:val="nil"/>
              <w:left w:val="nil"/>
              <w:bottom w:val="nil"/>
              <w:right w:val="nil"/>
            </w:tcBorders>
            <w:noWrap/>
          </w:tcPr>
          <w:p w14:paraId="178D0B4B" w14:textId="77777777" w:rsidR="000A0580" w:rsidRDefault="000A0580">
            <w:pPr>
              <w:spacing w:after="0" w:line="480" w:lineRule="auto"/>
              <w:rPr>
                <w:rFonts w:ascii="Times New Roman" w:eastAsia="Arial" w:hAnsi="Times New Roman" w:cs="Times New Roman"/>
                <w:sz w:val="24"/>
                <w:szCs w:val="24"/>
                <w:lang w:eastAsia="es-MX"/>
              </w:rPr>
            </w:pPr>
          </w:p>
        </w:tc>
        <w:tc>
          <w:tcPr>
            <w:tcW w:w="1261" w:type="dxa"/>
            <w:tcBorders>
              <w:top w:val="nil"/>
              <w:left w:val="nil"/>
              <w:bottom w:val="nil"/>
              <w:right w:val="nil"/>
            </w:tcBorders>
            <w:noWrap/>
          </w:tcPr>
          <w:p w14:paraId="18F6EAA1"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1</w:t>
            </w:r>
          </w:p>
        </w:tc>
        <w:tc>
          <w:tcPr>
            <w:tcW w:w="1260" w:type="dxa"/>
            <w:tcBorders>
              <w:top w:val="nil"/>
              <w:left w:val="nil"/>
              <w:bottom w:val="nil"/>
              <w:right w:val="nil"/>
            </w:tcBorders>
            <w:noWrap/>
          </w:tcPr>
          <w:p w14:paraId="5393E6AC"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0.142</w:t>
            </w:r>
          </w:p>
        </w:tc>
        <w:tc>
          <w:tcPr>
            <w:tcW w:w="1364" w:type="dxa"/>
            <w:gridSpan w:val="2"/>
            <w:tcBorders>
              <w:top w:val="nil"/>
              <w:left w:val="nil"/>
              <w:bottom w:val="nil"/>
              <w:right w:val="nil"/>
            </w:tcBorders>
            <w:noWrap/>
          </w:tcPr>
          <w:p w14:paraId="6C05398F"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0.008</w:t>
            </w:r>
          </w:p>
        </w:tc>
      </w:tr>
      <w:tr w:rsidR="000A0580" w14:paraId="4062E1E2" w14:textId="77777777">
        <w:trPr>
          <w:trHeight w:val="309"/>
        </w:trPr>
        <w:tc>
          <w:tcPr>
            <w:tcW w:w="1572" w:type="dxa"/>
            <w:tcBorders>
              <w:top w:val="nil"/>
              <w:left w:val="nil"/>
              <w:bottom w:val="nil"/>
              <w:right w:val="nil"/>
            </w:tcBorders>
            <w:noWrap/>
          </w:tcPr>
          <w:p w14:paraId="45483EA4"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ED</w:t>
            </w:r>
          </w:p>
        </w:tc>
        <w:tc>
          <w:tcPr>
            <w:tcW w:w="1469" w:type="dxa"/>
            <w:tcBorders>
              <w:top w:val="nil"/>
              <w:left w:val="nil"/>
              <w:bottom w:val="nil"/>
              <w:right w:val="nil"/>
            </w:tcBorders>
            <w:noWrap/>
          </w:tcPr>
          <w:p w14:paraId="7F97F9A2" w14:textId="77777777" w:rsidR="000A0580" w:rsidRDefault="000A0580">
            <w:pPr>
              <w:spacing w:after="0" w:line="480" w:lineRule="auto"/>
              <w:rPr>
                <w:rFonts w:ascii="Times New Roman" w:eastAsia="Arial" w:hAnsi="Times New Roman" w:cs="Times New Roman"/>
                <w:sz w:val="24"/>
                <w:szCs w:val="24"/>
                <w:lang w:eastAsia="es-MX"/>
              </w:rPr>
            </w:pPr>
          </w:p>
        </w:tc>
        <w:tc>
          <w:tcPr>
            <w:tcW w:w="1162" w:type="dxa"/>
            <w:tcBorders>
              <w:top w:val="nil"/>
              <w:left w:val="nil"/>
              <w:bottom w:val="nil"/>
              <w:right w:val="nil"/>
            </w:tcBorders>
            <w:noWrap/>
          </w:tcPr>
          <w:p w14:paraId="0450B6D0" w14:textId="77777777" w:rsidR="000A0580" w:rsidRDefault="000A0580">
            <w:pPr>
              <w:spacing w:after="0" w:line="480" w:lineRule="auto"/>
              <w:rPr>
                <w:rFonts w:ascii="Times New Roman" w:eastAsia="Arial" w:hAnsi="Times New Roman" w:cs="Times New Roman"/>
                <w:sz w:val="24"/>
                <w:szCs w:val="24"/>
                <w:lang w:eastAsia="es-MX"/>
              </w:rPr>
            </w:pPr>
          </w:p>
        </w:tc>
        <w:tc>
          <w:tcPr>
            <w:tcW w:w="1260" w:type="dxa"/>
            <w:tcBorders>
              <w:top w:val="nil"/>
              <w:left w:val="nil"/>
              <w:bottom w:val="nil"/>
              <w:right w:val="nil"/>
            </w:tcBorders>
            <w:noWrap/>
          </w:tcPr>
          <w:p w14:paraId="2781FFE3" w14:textId="77777777" w:rsidR="000A0580" w:rsidRDefault="000A0580">
            <w:pPr>
              <w:spacing w:after="0" w:line="480" w:lineRule="auto"/>
              <w:rPr>
                <w:rFonts w:ascii="Times New Roman" w:eastAsia="Arial" w:hAnsi="Times New Roman" w:cs="Times New Roman"/>
                <w:sz w:val="24"/>
                <w:szCs w:val="24"/>
                <w:lang w:eastAsia="es-MX"/>
              </w:rPr>
            </w:pPr>
          </w:p>
        </w:tc>
        <w:tc>
          <w:tcPr>
            <w:tcW w:w="1261" w:type="dxa"/>
            <w:tcBorders>
              <w:top w:val="nil"/>
              <w:left w:val="nil"/>
              <w:bottom w:val="nil"/>
              <w:right w:val="nil"/>
            </w:tcBorders>
            <w:noWrap/>
          </w:tcPr>
          <w:p w14:paraId="41427564" w14:textId="77777777" w:rsidR="000A0580" w:rsidRDefault="000A0580">
            <w:pPr>
              <w:spacing w:after="0" w:line="480" w:lineRule="auto"/>
              <w:rPr>
                <w:rFonts w:ascii="Times New Roman" w:eastAsia="Arial" w:hAnsi="Times New Roman" w:cs="Times New Roman"/>
                <w:sz w:val="24"/>
                <w:szCs w:val="24"/>
                <w:lang w:eastAsia="es-MX"/>
              </w:rPr>
            </w:pPr>
          </w:p>
        </w:tc>
        <w:tc>
          <w:tcPr>
            <w:tcW w:w="1260" w:type="dxa"/>
            <w:tcBorders>
              <w:top w:val="nil"/>
              <w:left w:val="nil"/>
              <w:bottom w:val="nil"/>
              <w:right w:val="nil"/>
            </w:tcBorders>
            <w:noWrap/>
          </w:tcPr>
          <w:p w14:paraId="2D9E5392"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1</w:t>
            </w:r>
          </w:p>
        </w:tc>
        <w:tc>
          <w:tcPr>
            <w:tcW w:w="1364" w:type="dxa"/>
            <w:gridSpan w:val="2"/>
            <w:tcBorders>
              <w:top w:val="nil"/>
              <w:left w:val="nil"/>
              <w:bottom w:val="nil"/>
              <w:right w:val="nil"/>
            </w:tcBorders>
            <w:noWrap/>
          </w:tcPr>
          <w:p w14:paraId="2DF8E481"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.851**</w:t>
            </w:r>
          </w:p>
        </w:tc>
      </w:tr>
      <w:tr w:rsidR="000A0580" w14:paraId="07867C63" w14:textId="77777777">
        <w:trPr>
          <w:trHeight w:val="309"/>
        </w:trPr>
        <w:tc>
          <w:tcPr>
            <w:tcW w:w="1572" w:type="dxa"/>
            <w:tcBorders>
              <w:top w:val="nil"/>
              <w:left w:val="nil"/>
              <w:bottom w:val="single" w:sz="4" w:space="0" w:color="auto"/>
              <w:right w:val="nil"/>
            </w:tcBorders>
            <w:noWrap/>
          </w:tcPr>
          <w:p w14:paraId="2C807DB5" w14:textId="77777777" w:rsidR="000A0580" w:rsidRDefault="00A9180F">
            <w:pPr>
              <w:spacing w:after="0" w:line="480" w:lineRule="auto"/>
              <w:rPr>
                <w:rFonts w:ascii="Times New Roman" w:eastAsia="Arial" w:hAnsi="Times New Roman" w:cs="Times New Roman"/>
                <w:b/>
                <w:bCs/>
                <w:sz w:val="24"/>
                <w:szCs w:val="24"/>
                <w:lang w:eastAsia="es-MX"/>
              </w:rPr>
            </w:pPr>
            <w:r>
              <w:rPr>
                <w:rFonts w:ascii="Times New Roman" w:eastAsia="Arial" w:hAnsi="Times New Roman" w:cs="Times New Roman"/>
                <w:b/>
                <w:bCs/>
                <w:sz w:val="24"/>
                <w:szCs w:val="24"/>
                <w:lang w:eastAsia="es-MX"/>
              </w:rPr>
              <w:t>SE</w:t>
            </w:r>
          </w:p>
        </w:tc>
        <w:tc>
          <w:tcPr>
            <w:tcW w:w="1469" w:type="dxa"/>
            <w:tcBorders>
              <w:top w:val="nil"/>
              <w:left w:val="nil"/>
              <w:bottom w:val="single" w:sz="4" w:space="0" w:color="auto"/>
              <w:right w:val="nil"/>
            </w:tcBorders>
            <w:noWrap/>
          </w:tcPr>
          <w:p w14:paraId="58636417" w14:textId="77777777" w:rsidR="000A0580" w:rsidRDefault="000A0580">
            <w:pPr>
              <w:spacing w:after="0" w:line="480" w:lineRule="auto"/>
              <w:rPr>
                <w:rFonts w:ascii="Times New Roman" w:eastAsia="Arial" w:hAnsi="Times New Roman" w:cs="Times New Roman"/>
                <w:sz w:val="24"/>
                <w:szCs w:val="24"/>
                <w:lang w:eastAsia="es-MX"/>
              </w:rPr>
            </w:pPr>
          </w:p>
        </w:tc>
        <w:tc>
          <w:tcPr>
            <w:tcW w:w="1162" w:type="dxa"/>
            <w:tcBorders>
              <w:top w:val="nil"/>
              <w:left w:val="nil"/>
              <w:bottom w:val="single" w:sz="4" w:space="0" w:color="auto"/>
              <w:right w:val="nil"/>
            </w:tcBorders>
            <w:noWrap/>
          </w:tcPr>
          <w:p w14:paraId="7803B04D" w14:textId="77777777" w:rsidR="000A0580" w:rsidRDefault="000A0580">
            <w:pPr>
              <w:spacing w:after="0" w:line="480" w:lineRule="auto"/>
              <w:rPr>
                <w:rFonts w:ascii="Times New Roman" w:eastAsia="Arial" w:hAnsi="Times New Roman" w:cs="Times New Roman"/>
                <w:sz w:val="24"/>
                <w:szCs w:val="24"/>
                <w:lang w:eastAsia="es-MX"/>
              </w:rPr>
            </w:pPr>
          </w:p>
        </w:tc>
        <w:tc>
          <w:tcPr>
            <w:tcW w:w="1260" w:type="dxa"/>
            <w:tcBorders>
              <w:top w:val="nil"/>
              <w:left w:val="nil"/>
              <w:bottom w:val="single" w:sz="4" w:space="0" w:color="auto"/>
              <w:right w:val="nil"/>
            </w:tcBorders>
            <w:noWrap/>
          </w:tcPr>
          <w:p w14:paraId="408F7408" w14:textId="77777777" w:rsidR="000A0580" w:rsidRDefault="000A0580">
            <w:pPr>
              <w:spacing w:after="0" w:line="480" w:lineRule="auto"/>
              <w:rPr>
                <w:rFonts w:ascii="Times New Roman" w:eastAsia="Arial" w:hAnsi="Times New Roman" w:cs="Times New Roman"/>
                <w:sz w:val="24"/>
                <w:szCs w:val="24"/>
                <w:lang w:eastAsia="es-MX"/>
              </w:rPr>
            </w:pPr>
          </w:p>
        </w:tc>
        <w:tc>
          <w:tcPr>
            <w:tcW w:w="1261" w:type="dxa"/>
            <w:tcBorders>
              <w:top w:val="nil"/>
              <w:left w:val="nil"/>
              <w:bottom w:val="single" w:sz="4" w:space="0" w:color="auto"/>
              <w:right w:val="nil"/>
            </w:tcBorders>
            <w:noWrap/>
          </w:tcPr>
          <w:p w14:paraId="5A632CB3" w14:textId="77777777" w:rsidR="000A0580" w:rsidRDefault="000A0580">
            <w:pPr>
              <w:spacing w:after="0" w:line="480" w:lineRule="auto"/>
              <w:rPr>
                <w:rFonts w:ascii="Times New Roman" w:eastAsia="Arial" w:hAnsi="Times New Roman" w:cs="Times New Roman"/>
                <w:sz w:val="24"/>
                <w:szCs w:val="24"/>
                <w:lang w:eastAsia="es-MX"/>
              </w:rPr>
            </w:pPr>
          </w:p>
        </w:tc>
        <w:tc>
          <w:tcPr>
            <w:tcW w:w="1260" w:type="dxa"/>
            <w:tcBorders>
              <w:top w:val="nil"/>
              <w:left w:val="nil"/>
              <w:bottom w:val="single" w:sz="4" w:space="0" w:color="auto"/>
              <w:right w:val="nil"/>
            </w:tcBorders>
            <w:noWrap/>
          </w:tcPr>
          <w:p w14:paraId="29B6A80B" w14:textId="77777777" w:rsidR="000A0580" w:rsidRDefault="000A0580">
            <w:pPr>
              <w:spacing w:after="0" w:line="480" w:lineRule="auto"/>
              <w:rPr>
                <w:rFonts w:ascii="Times New Roman" w:eastAsia="Arial" w:hAnsi="Times New Roman" w:cs="Times New Roman"/>
                <w:sz w:val="24"/>
                <w:szCs w:val="24"/>
                <w:lang w:eastAsia="es-MX"/>
              </w:rPr>
            </w:pPr>
          </w:p>
        </w:tc>
        <w:tc>
          <w:tcPr>
            <w:tcW w:w="1364" w:type="dxa"/>
            <w:gridSpan w:val="2"/>
            <w:tcBorders>
              <w:top w:val="nil"/>
              <w:left w:val="nil"/>
              <w:bottom w:val="single" w:sz="4" w:space="0" w:color="auto"/>
              <w:right w:val="nil"/>
            </w:tcBorders>
            <w:noWrap/>
          </w:tcPr>
          <w:p w14:paraId="5F597FBE" w14:textId="77777777" w:rsidR="000A0580" w:rsidRDefault="00A9180F">
            <w:pPr>
              <w:spacing w:after="0" w:line="480" w:lineRule="auto"/>
              <w:rPr>
                <w:rFonts w:ascii="Times New Roman" w:eastAsia="Arial" w:hAnsi="Times New Roman" w:cs="Times New Roman"/>
                <w:sz w:val="24"/>
                <w:szCs w:val="24"/>
                <w:lang w:eastAsia="es-MX"/>
              </w:rPr>
            </w:pPr>
            <w:r>
              <w:rPr>
                <w:rFonts w:ascii="Arial" w:eastAsia="Arial" w:hAnsi="Arial" w:cs="Arial"/>
                <w:sz w:val="24"/>
                <w:szCs w:val="24"/>
                <w:lang w:eastAsia="es-MX"/>
              </w:rPr>
              <w:t>1</w:t>
            </w:r>
          </w:p>
        </w:tc>
      </w:tr>
      <w:tr w:rsidR="000A0580" w14:paraId="014FA43B" w14:textId="77777777">
        <w:trPr>
          <w:trHeight w:val="309"/>
        </w:trPr>
        <w:tc>
          <w:tcPr>
            <w:tcW w:w="6724" w:type="dxa"/>
            <w:gridSpan w:val="5"/>
            <w:tcBorders>
              <w:top w:val="single" w:sz="4" w:space="0" w:color="auto"/>
              <w:left w:val="nil"/>
              <w:bottom w:val="nil"/>
              <w:right w:val="nil"/>
            </w:tcBorders>
            <w:noWrap/>
          </w:tcPr>
          <w:p w14:paraId="4D5E85B5"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La correlación es significativa en el nivel 0,05 (bilateral).</w:t>
            </w:r>
          </w:p>
        </w:tc>
        <w:tc>
          <w:tcPr>
            <w:tcW w:w="1492" w:type="dxa"/>
            <w:gridSpan w:val="2"/>
            <w:tcBorders>
              <w:top w:val="single" w:sz="4" w:space="0" w:color="auto"/>
              <w:left w:val="nil"/>
              <w:bottom w:val="nil"/>
              <w:right w:val="nil"/>
            </w:tcBorders>
            <w:noWrap/>
          </w:tcPr>
          <w:p w14:paraId="3E3C3CE2" w14:textId="77777777" w:rsidR="000A0580" w:rsidRDefault="000A0580">
            <w:pPr>
              <w:spacing w:after="0" w:line="480" w:lineRule="auto"/>
              <w:rPr>
                <w:rFonts w:ascii="Times New Roman" w:eastAsia="Arial" w:hAnsi="Times New Roman" w:cs="Times New Roman"/>
                <w:sz w:val="24"/>
                <w:szCs w:val="24"/>
                <w:lang w:eastAsia="es-MX"/>
              </w:rPr>
            </w:pPr>
          </w:p>
        </w:tc>
        <w:tc>
          <w:tcPr>
            <w:tcW w:w="1132" w:type="dxa"/>
            <w:tcBorders>
              <w:top w:val="single" w:sz="4" w:space="0" w:color="auto"/>
              <w:left w:val="nil"/>
              <w:bottom w:val="nil"/>
              <w:right w:val="nil"/>
            </w:tcBorders>
            <w:noWrap/>
          </w:tcPr>
          <w:p w14:paraId="27F8728F" w14:textId="77777777" w:rsidR="000A0580" w:rsidRDefault="000A0580">
            <w:pPr>
              <w:spacing w:after="0" w:line="480" w:lineRule="auto"/>
              <w:rPr>
                <w:rFonts w:ascii="Times New Roman" w:eastAsia="Arial" w:hAnsi="Times New Roman" w:cs="Times New Roman"/>
                <w:sz w:val="24"/>
                <w:szCs w:val="24"/>
                <w:lang w:eastAsia="es-MX"/>
              </w:rPr>
            </w:pPr>
          </w:p>
        </w:tc>
      </w:tr>
      <w:tr w:rsidR="000A0580" w14:paraId="232C410A" w14:textId="77777777">
        <w:trPr>
          <w:trHeight w:val="309"/>
        </w:trPr>
        <w:tc>
          <w:tcPr>
            <w:tcW w:w="6724" w:type="dxa"/>
            <w:gridSpan w:val="5"/>
            <w:tcBorders>
              <w:top w:val="nil"/>
              <w:left w:val="nil"/>
              <w:bottom w:val="single" w:sz="4" w:space="0" w:color="auto"/>
              <w:right w:val="nil"/>
            </w:tcBorders>
            <w:noWrap/>
          </w:tcPr>
          <w:p w14:paraId="675C1B76" w14:textId="77777777" w:rsidR="000A0580" w:rsidRDefault="00A9180F">
            <w:pPr>
              <w:spacing w:after="0" w:line="480" w:lineRule="auto"/>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La correlación es significativa en el nivel 0,01 (bilateral).</w:t>
            </w:r>
          </w:p>
        </w:tc>
        <w:tc>
          <w:tcPr>
            <w:tcW w:w="1492" w:type="dxa"/>
            <w:gridSpan w:val="2"/>
            <w:tcBorders>
              <w:top w:val="nil"/>
              <w:left w:val="nil"/>
              <w:bottom w:val="single" w:sz="4" w:space="0" w:color="auto"/>
              <w:right w:val="nil"/>
            </w:tcBorders>
            <w:noWrap/>
          </w:tcPr>
          <w:p w14:paraId="53966844" w14:textId="77777777" w:rsidR="000A0580" w:rsidRDefault="000A0580">
            <w:pPr>
              <w:spacing w:after="0" w:line="480" w:lineRule="auto"/>
              <w:rPr>
                <w:rFonts w:ascii="Times New Roman" w:eastAsia="Arial" w:hAnsi="Times New Roman" w:cs="Times New Roman"/>
                <w:sz w:val="24"/>
                <w:szCs w:val="24"/>
                <w:lang w:eastAsia="es-MX"/>
              </w:rPr>
            </w:pPr>
          </w:p>
        </w:tc>
        <w:tc>
          <w:tcPr>
            <w:tcW w:w="1132" w:type="dxa"/>
            <w:tcBorders>
              <w:top w:val="nil"/>
              <w:left w:val="nil"/>
              <w:bottom w:val="single" w:sz="4" w:space="0" w:color="auto"/>
              <w:right w:val="nil"/>
            </w:tcBorders>
            <w:noWrap/>
          </w:tcPr>
          <w:p w14:paraId="4C2ADB4F" w14:textId="77777777" w:rsidR="000A0580" w:rsidRDefault="000A0580">
            <w:pPr>
              <w:spacing w:after="0" w:line="480" w:lineRule="auto"/>
              <w:rPr>
                <w:rFonts w:ascii="Times New Roman" w:eastAsia="Arial" w:hAnsi="Times New Roman" w:cs="Times New Roman"/>
                <w:sz w:val="24"/>
                <w:szCs w:val="24"/>
                <w:lang w:eastAsia="es-MX"/>
              </w:rPr>
            </w:pPr>
          </w:p>
        </w:tc>
      </w:tr>
    </w:tbl>
    <w:p w14:paraId="73C7E037" w14:textId="77777777" w:rsidR="000A0580" w:rsidRDefault="00A9180F">
      <w:pPr>
        <w:spacing w:after="0"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Fuente: elaboración propia.</w:t>
      </w:r>
    </w:p>
    <w:p w14:paraId="55F1980A" w14:textId="77777777" w:rsidR="000A0580" w:rsidRDefault="00A9180F">
      <w:pPr>
        <w:spacing w:after="0"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Nota: CA=Comunicación Académica CT=Colaboración y Trabajo en Equipo IA= Integración Institucional y Apoyo al Aprendizaje PR=Promedio. ED=Edad. SE=Semestre</w:t>
      </w:r>
    </w:p>
    <w:bookmarkEnd w:id="29"/>
    <w:p w14:paraId="30628D6D"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En la Tabla 10 se observa que la dimensión de Comunicación Académica (CA) presenta una relación negativa y significativa con el promedio académico (PR) (r = –.327; p ≤ .01). Este resultado indica que, a mayor uso de las redes sociales para fines de comunicación académica, los estudiantes tienden a reportar un promedio ligeramente menor. Dicho hallazgo puede explicarse porque el empleo constante de estas plataformas para resolver dudas o mantenerse informados puede no estar siempre vinculado a un mejor rendi</w:t>
      </w:r>
      <w:r>
        <w:rPr>
          <w:rFonts w:ascii="Times New Roman" w:hAnsi="Times New Roman" w:cs="Times New Roman"/>
          <w:sz w:val="24"/>
          <w:szCs w:val="24"/>
        </w:rPr>
        <w:t>miento, sino más bien reflejar la necesidad de apoyo adicional en las asignaturas.</w:t>
      </w:r>
    </w:p>
    <w:p w14:paraId="4FD8679D"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Por otro lado, las correlaciones entre las demás dimensiones (Colaboración y Trabajo en Equipo e Integración Institucional y Apoyo al Aprendizaje) con las variables sociodemográficas no resultaron significativas, lo que sugiere que la edad y el semestre no influyen de manera directa en la forma en que los estudiantes utilizan las redes sociales en su proceso de aprendizaje</w:t>
      </w:r>
    </w:p>
    <w:p w14:paraId="3C0BC3C8"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CONCLUSIONES.</w:t>
      </w:r>
    </w:p>
    <w:p w14:paraId="2A62B004"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El estudio permitió examinar cómo los estudiantes de la Licenciatura en Mercadotecnia hacen uso de las redes sociales dentro de su proceso de aprendizaje, encontrando resultados que aportan al análisis académico y que pueden orientar nuevas prácticas educativas.</w:t>
      </w:r>
    </w:p>
    <w:p w14:paraId="2707538F"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En cuanto a las dimensiones evaluadas, la de Integración institucional y apoyo al aprendizaje obtuvo la media más alta (</w:t>
      </w:r>
      <w:r>
        <w:rPr>
          <w:rFonts w:ascii="Cambria Math" w:hAnsi="Cambria Math" w:cs="Cambria Math"/>
          <w:sz w:val="24"/>
          <w:szCs w:val="24"/>
        </w:rPr>
        <w:t>𝑥</w:t>
      </w:r>
      <w:r>
        <w:rPr>
          <w:rFonts w:ascii="Times New Roman" w:hAnsi="Times New Roman" w:cs="Times New Roman"/>
          <w:sz w:val="24"/>
          <w:szCs w:val="24"/>
        </w:rPr>
        <w:t>̄</w:t>
      </w:r>
      <w:r>
        <w:rPr>
          <w:rFonts w:ascii="Times New Roman" w:hAnsi="Times New Roman" w:cs="Times New Roman"/>
          <w:sz w:val="24"/>
          <w:szCs w:val="24"/>
        </w:rPr>
        <w:t xml:space="preserve"> = 2.835), lo que refleja que los alumnos reconocen en las redes sociales un recurso formal que respalda sus estudios. Por el contrario, la de Comunicación académica presentó el promedio más bajo (</w:t>
      </w:r>
      <w:r>
        <w:rPr>
          <w:rFonts w:ascii="Cambria Math" w:hAnsi="Cambria Math" w:cs="Cambria Math"/>
          <w:sz w:val="24"/>
          <w:szCs w:val="24"/>
        </w:rPr>
        <w:t>𝑥</w:t>
      </w:r>
      <w:r>
        <w:rPr>
          <w:rFonts w:ascii="Times New Roman" w:hAnsi="Times New Roman" w:cs="Times New Roman"/>
          <w:sz w:val="24"/>
          <w:szCs w:val="24"/>
        </w:rPr>
        <w:t>̄</w:t>
      </w:r>
      <w:r>
        <w:rPr>
          <w:rFonts w:ascii="Times New Roman" w:hAnsi="Times New Roman" w:cs="Times New Roman"/>
          <w:sz w:val="24"/>
          <w:szCs w:val="24"/>
        </w:rPr>
        <w:t xml:space="preserve"> = 2.456), lo que muestra que todavía hay limitaciones en la forma en que los docentes emplean estas herramientas para mantener informados a sus estudiantes.</w:t>
      </w:r>
    </w:p>
    <w:p w14:paraId="5F1D6113"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Al revisar cada ítem, se identificó que en Comunicación académica el menor valor se presentó en P3 (el profesor avisa sobre tareas o actividades), evidenciando un área de oportunidad para fortalecer la interacción docente–alumno mediante estas plataformas. En la dimensión de Colaboración y trabajo en equipo, el ítem con media más baja fue P9 (uso de videollamadas), lo que indica que esta función no se aprovecha con frecuencia y podría ser un recurso útil para mejorar la coordinación. En la de Integración in</w:t>
      </w:r>
      <w:r>
        <w:rPr>
          <w:rFonts w:ascii="Times New Roman" w:hAnsi="Times New Roman" w:cs="Times New Roman"/>
          <w:sz w:val="24"/>
          <w:szCs w:val="24"/>
        </w:rPr>
        <w:t>stitucional y apoyo al aprendizaje, el promedio más bajo correspondió a P10 (uso permitido de redes en clase), lo que refleja que aún son pocos los profesores que incorporan estas herramientas directamente en sus sesiones.</w:t>
      </w:r>
    </w:p>
    <w:p w14:paraId="052204BA"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Los resultados también mostraron diferencias por género. En las dimensiones de Comunicación académica y Colaboración y trabajo en equipo, los hombres reportaron medias más altas que las mujeres, lo que sugiere que utilizan con mayor frecuencia las redes sociales en estos ámbitos. Esta diferencia marca un punto de interés para futuros estudios y para diseñar estrategias que fomenten un uso equilibrado entre ambos grupos.</w:t>
      </w:r>
    </w:p>
    <w:p w14:paraId="051BF97D"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Un hallazgo de gran relevancia fue la correlación negativa y significativa entre Comunicación académica y el promedio académico (r = –.327; p ≤ .01). Esto significa que, a medida que aumenta el uso de redes sociales para comunicarse con docentes y compañeros, los promedios tienden a ser ligeramente menores. Aunque este resultado no implica causalidad directa, sí plantea la necesidad de reflexionar sobre cómo usar estas plataformas de manera más estratégica, evitando que su empleo derive en distracciones que</w:t>
      </w:r>
      <w:r>
        <w:rPr>
          <w:rFonts w:ascii="Times New Roman" w:hAnsi="Times New Roman" w:cs="Times New Roman"/>
          <w:sz w:val="24"/>
          <w:szCs w:val="24"/>
        </w:rPr>
        <w:t xml:space="preserve"> afecten el desempeño.</w:t>
      </w:r>
    </w:p>
    <w:p w14:paraId="1D3EE071"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En conjunto, los resultados confirman que las redes sociales son una herramienta con potencial para apoyar la interacción, la colaboración y el aprendizaje en la universidad. Sin embargo, también dejan claro que su incorporación debe ser más consciente y planificada. A futuro, esta información puede servir para que docentes e instituciones desarrollen estrategias didácticas y políticas académicas que impulsen un uso equilibrado de las redes sociales, de modo que contribuyan al aprendizaje significativo y al</w:t>
      </w:r>
      <w:r>
        <w:rPr>
          <w:rFonts w:ascii="Times New Roman" w:hAnsi="Times New Roman" w:cs="Times New Roman"/>
          <w:sz w:val="24"/>
          <w:szCs w:val="24"/>
        </w:rPr>
        <w:t xml:space="preserve"> fortalecimiento de las competencias digitales de los estudiantes.</w:t>
      </w:r>
    </w:p>
    <w:p w14:paraId="10351317" w14:textId="77777777" w:rsidR="000A0580" w:rsidRDefault="000A0580">
      <w:pPr>
        <w:spacing w:line="480" w:lineRule="auto"/>
        <w:jc w:val="both"/>
        <w:rPr>
          <w:rFonts w:ascii="Times New Roman" w:hAnsi="Times New Roman" w:cs="Times New Roman"/>
          <w:b/>
          <w:bCs/>
          <w:sz w:val="24"/>
          <w:szCs w:val="24"/>
        </w:rPr>
      </w:pPr>
    </w:p>
    <w:p w14:paraId="5F2A0A22" w14:textId="77777777" w:rsidR="000A0580" w:rsidRDefault="000A0580">
      <w:pPr>
        <w:spacing w:line="480" w:lineRule="auto"/>
        <w:jc w:val="both"/>
        <w:rPr>
          <w:rFonts w:ascii="Times New Roman" w:hAnsi="Times New Roman" w:cs="Times New Roman"/>
          <w:b/>
          <w:bCs/>
          <w:sz w:val="24"/>
          <w:szCs w:val="24"/>
        </w:rPr>
      </w:pPr>
    </w:p>
    <w:p w14:paraId="6AD39DB4" w14:textId="77777777" w:rsidR="000A0580" w:rsidRDefault="000A0580">
      <w:pPr>
        <w:spacing w:line="480" w:lineRule="auto"/>
        <w:jc w:val="both"/>
        <w:rPr>
          <w:rFonts w:ascii="Times New Roman" w:hAnsi="Times New Roman" w:cs="Times New Roman"/>
          <w:b/>
          <w:bCs/>
          <w:sz w:val="24"/>
          <w:szCs w:val="24"/>
        </w:rPr>
      </w:pPr>
    </w:p>
    <w:p w14:paraId="5355FD0C" w14:textId="77777777" w:rsidR="000A0580" w:rsidRDefault="000A0580">
      <w:pPr>
        <w:spacing w:line="480" w:lineRule="auto"/>
        <w:jc w:val="both"/>
        <w:rPr>
          <w:rFonts w:ascii="Times New Roman" w:hAnsi="Times New Roman" w:cs="Times New Roman"/>
          <w:b/>
          <w:bCs/>
          <w:sz w:val="24"/>
          <w:szCs w:val="24"/>
        </w:rPr>
      </w:pPr>
    </w:p>
    <w:p w14:paraId="24D99C8A" w14:textId="77777777" w:rsidR="000A0580" w:rsidRDefault="000A0580">
      <w:pPr>
        <w:spacing w:line="480" w:lineRule="auto"/>
        <w:jc w:val="both"/>
        <w:rPr>
          <w:rFonts w:ascii="Times New Roman" w:hAnsi="Times New Roman" w:cs="Times New Roman"/>
          <w:b/>
          <w:bCs/>
          <w:sz w:val="24"/>
          <w:szCs w:val="24"/>
        </w:rPr>
      </w:pPr>
    </w:p>
    <w:p w14:paraId="4B57122E" w14:textId="77777777" w:rsidR="000A0580" w:rsidRDefault="00A9180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REFERENCIAS BIBLIOGRÁFICAS. </w:t>
      </w:r>
      <w:bookmarkStart w:id="30" w:name="_Hlk175922463"/>
    </w:p>
    <w:p w14:paraId="66614374"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Artero, B.  (2011).  Interacción como aprendizaje en las redes sociales. </w:t>
      </w:r>
      <w:r>
        <w:rPr>
          <w:rFonts w:ascii="Times New Roman" w:eastAsia="Arial" w:hAnsi="Times New Roman" w:cs="Times New Roman"/>
          <w:i/>
          <w:iCs/>
          <w:sz w:val="24"/>
          <w:szCs w:val="24"/>
          <w:lang w:eastAsia="es-MX"/>
        </w:rPr>
        <w:t>Educaweb</w:t>
      </w:r>
      <w:r>
        <w:rPr>
          <w:rFonts w:ascii="Times New Roman" w:eastAsia="Arial" w:hAnsi="Times New Roman" w:cs="Times New Roman"/>
          <w:sz w:val="24"/>
          <w:szCs w:val="24"/>
          <w:lang w:eastAsia="es-MX"/>
        </w:rPr>
        <w:t xml:space="preserve">. </w:t>
      </w:r>
      <w:hyperlink r:id="rId8" w:history="1">
        <w:r>
          <w:rPr>
            <w:rStyle w:val="Hipervnculo"/>
            <w:rFonts w:ascii="Times New Roman" w:eastAsia="Arial" w:hAnsi="Times New Roman" w:cs="Times New Roman"/>
            <w:sz w:val="24"/>
            <w:szCs w:val="24"/>
            <w:lang w:eastAsia="es-MX"/>
          </w:rPr>
          <w:t>http://www.educaweb.com/noticia/2011/01/31/interaccion-como-eje-aprendizaje-redes-sociales-14570.html</w:t>
        </w:r>
      </w:hyperlink>
    </w:p>
    <w:p w14:paraId="3C65A3B0"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Asociación de Investigación de Medios de Comunicación (AIMC) (2024). </w:t>
      </w:r>
      <w:r>
        <w:rPr>
          <w:rFonts w:ascii="Times New Roman" w:eastAsia="Arial" w:hAnsi="Times New Roman" w:cs="Times New Roman"/>
          <w:i/>
          <w:iCs/>
          <w:sz w:val="24"/>
          <w:szCs w:val="24"/>
          <w:lang w:eastAsia="es-MX"/>
        </w:rPr>
        <w:t>27 encuesta AIMC a usuarios de Internet. Navegantes en la Red</w:t>
      </w:r>
      <w:r>
        <w:rPr>
          <w:rFonts w:ascii="Times New Roman" w:eastAsia="Arial" w:hAnsi="Times New Roman" w:cs="Times New Roman"/>
          <w:sz w:val="24"/>
          <w:szCs w:val="24"/>
          <w:lang w:eastAsia="es-MX"/>
        </w:rPr>
        <w:t xml:space="preserve">. </w:t>
      </w:r>
      <w:hyperlink r:id="rId9" w:history="1">
        <w:r>
          <w:rPr>
            <w:rStyle w:val="Hipervnculo"/>
            <w:rFonts w:ascii="Times New Roman" w:eastAsia="Arial" w:hAnsi="Times New Roman" w:cs="Times New Roman"/>
            <w:sz w:val="24"/>
            <w:szCs w:val="24"/>
            <w:lang w:eastAsia="es-MX"/>
          </w:rPr>
          <w:t>http://www.aimc.es/otros-estudios-trabajos/navegantes-la-red/</w:t>
        </w:r>
      </w:hyperlink>
    </w:p>
    <w:p w14:paraId="22457C05"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Borgobello, A., y Monjelat, N. (2019). Vygotsky en la sociedad digital. Análisis de literatura científica actual en acceso abierto. </w:t>
      </w:r>
      <w:r>
        <w:rPr>
          <w:rFonts w:ascii="Times New Roman" w:eastAsia="Arial" w:hAnsi="Times New Roman" w:cs="Times New Roman"/>
          <w:i/>
          <w:iCs/>
          <w:sz w:val="24"/>
          <w:szCs w:val="24"/>
          <w:lang w:eastAsia="es-MX"/>
        </w:rPr>
        <w:t>Perspectivas Metodológicas</w:t>
      </w:r>
      <w:r>
        <w:rPr>
          <w:rFonts w:ascii="Times New Roman" w:eastAsia="Arial" w:hAnsi="Times New Roman" w:cs="Times New Roman"/>
          <w:sz w:val="24"/>
          <w:szCs w:val="24"/>
          <w:lang w:eastAsia="es-MX"/>
        </w:rPr>
        <w:t xml:space="preserve">, 19 (23), 1-24. </w:t>
      </w:r>
      <w:hyperlink r:id="rId10" w:history="1">
        <w:r>
          <w:rPr>
            <w:rStyle w:val="Hipervnculo"/>
            <w:rFonts w:ascii="Times New Roman" w:eastAsia="Arial" w:hAnsi="Times New Roman" w:cs="Times New Roman"/>
            <w:sz w:val="24"/>
            <w:szCs w:val="24"/>
            <w:lang w:eastAsia="es-MX"/>
          </w:rPr>
          <w:t>https://doi.org/10.18294/pm.2019.2200</w:t>
        </w:r>
      </w:hyperlink>
    </w:p>
    <w:p w14:paraId="5EB38090"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Cataldi, Z., Méndez, P., Dominighini, C., y Lage, F. (2012). Dispositivos móviles en educación superior y entornos personalizados de aprendizaje. </w:t>
      </w:r>
      <w:r>
        <w:rPr>
          <w:rFonts w:ascii="Times New Roman" w:eastAsia="Arial" w:hAnsi="Times New Roman" w:cs="Times New Roman"/>
          <w:i/>
          <w:iCs/>
          <w:sz w:val="24"/>
          <w:szCs w:val="24"/>
          <w:lang w:eastAsia="es-MX"/>
        </w:rPr>
        <w:t xml:space="preserve">XIV Workshop de Investigadores en Ciencias de la Computación. </w:t>
      </w:r>
      <w:r>
        <w:rPr>
          <w:rFonts w:ascii="Times New Roman" w:eastAsia="Arial" w:hAnsi="Times New Roman" w:cs="Times New Roman"/>
          <w:sz w:val="24"/>
          <w:szCs w:val="24"/>
          <w:lang w:eastAsia="es-MX"/>
        </w:rPr>
        <w:t xml:space="preserve">Universidad Nacional de La Plata. </w:t>
      </w:r>
      <w:hyperlink r:id="rId11" w:history="1">
        <w:r>
          <w:rPr>
            <w:rStyle w:val="Hipervnculo"/>
            <w:rFonts w:ascii="Times New Roman" w:eastAsia="Arial" w:hAnsi="Times New Roman" w:cs="Times New Roman"/>
            <w:sz w:val="24"/>
            <w:szCs w:val="24"/>
            <w:lang w:eastAsia="es-MX"/>
          </w:rPr>
          <w:t>http://sedici.unlp.edu.ar/handle/10915/19437</w:t>
        </w:r>
      </w:hyperlink>
    </w:p>
    <w:p w14:paraId="27580FB9"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Chávez, E., y Barahona, C. (2024). Influencia de las redes sociales en el proceso educativo de los estudiantes del tercer año de Bachillerato de Informática de la Unidad Educativa Pichincha. </w:t>
      </w:r>
      <w:r>
        <w:rPr>
          <w:rFonts w:ascii="Times New Roman" w:eastAsia="Arial" w:hAnsi="Times New Roman" w:cs="Times New Roman"/>
          <w:i/>
          <w:iCs/>
          <w:sz w:val="24"/>
          <w:szCs w:val="24"/>
          <w:lang w:eastAsia="es-MX"/>
        </w:rPr>
        <w:t>Revista Espacios</w:t>
      </w:r>
      <w:r>
        <w:rPr>
          <w:rFonts w:ascii="Times New Roman" w:eastAsia="Arial" w:hAnsi="Times New Roman" w:cs="Times New Roman"/>
          <w:sz w:val="24"/>
          <w:szCs w:val="24"/>
          <w:lang w:eastAsia="es-MX"/>
        </w:rPr>
        <w:t xml:space="preserve">, 45 (1), 43–50. </w:t>
      </w:r>
      <w:hyperlink r:id="rId12" w:history="1">
        <w:r>
          <w:rPr>
            <w:rStyle w:val="Hipervnculo"/>
            <w:rFonts w:ascii="Times New Roman" w:eastAsia="Arial" w:hAnsi="Times New Roman" w:cs="Times New Roman"/>
            <w:sz w:val="24"/>
            <w:szCs w:val="24"/>
            <w:lang w:eastAsia="es-MX"/>
          </w:rPr>
          <w:t>https://doi.org/10.48082/espacios-a24v45n01p04</w:t>
        </w:r>
      </w:hyperlink>
    </w:p>
    <w:p w14:paraId="785FE5E6"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Calle, R., Rivera, D. y González, L. (2022). The use of social networks in learning. </w:t>
      </w:r>
      <w:r>
        <w:rPr>
          <w:rFonts w:ascii="Times New Roman" w:eastAsia="Arial" w:hAnsi="Times New Roman" w:cs="Times New Roman"/>
          <w:i/>
          <w:iCs/>
          <w:sz w:val="24"/>
          <w:szCs w:val="24"/>
          <w:lang w:eastAsia="es-MX"/>
        </w:rPr>
        <w:t>Sapienza: International Journal of Interdisciplinary Studies</w:t>
      </w:r>
      <w:r>
        <w:rPr>
          <w:rFonts w:ascii="Times New Roman" w:eastAsia="Arial" w:hAnsi="Times New Roman" w:cs="Times New Roman"/>
          <w:sz w:val="24"/>
          <w:szCs w:val="24"/>
          <w:lang w:eastAsia="es-MX"/>
        </w:rPr>
        <w:t xml:space="preserve">, 3 (1), 1087–1104. </w:t>
      </w:r>
      <w:hyperlink r:id="rId13" w:history="1">
        <w:r>
          <w:rPr>
            <w:rStyle w:val="Hipervnculo"/>
            <w:rFonts w:ascii="Times New Roman" w:eastAsia="Arial" w:hAnsi="Times New Roman" w:cs="Times New Roman"/>
            <w:sz w:val="24"/>
            <w:szCs w:val="24"/>
            <w:lang w:eastAsia="es-MX"/>
          </w:rPr>
          <w:t>https://doi.org/10.51798/sijis.v3i1.287</w:t>
        </w:r>
      </w:hyperlink>
    </w:p>
    <w:p w14:paraId="1203A384"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Hernández, R., Fernández, C., &amp; Baptista, P. (2014). Metodología de la investigación. México: </w:t>
      </w:r>
      <w:r>
        <w:rPr>
          <w:rFonts w:ascii="Times New Roman" w:eastAsia="Arial" w:hAnsi="Times New Roman" w:cs="Times New Roman"/>
          <w:i/>
          <w:iCs/>
          <w:sz w:val="24"/>
          <w:szCs w:val="24"/>
          <w:lang w:eastAsia="es-MX"/>
        </w:rPr>
        <w:t>Mc Graw-Hill Education.</w:t>
      </w:r>
    </w:p>
    <w:p w14:paraId="30A4B547"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Hidalgo, B., Hidalgo, D. y Hidalgo I. (2017). El impacto de las redes sociales como herramienta de comunicación, interacción y colaboración en el proceso enseñanza aprendizaje en la educación superior. Sathiri, 12 (1), 104-113. </w:t>
      </w:r>
      <w:hyperlink r:id="rId14" w:history="1">
        <w:r>
          <w:rPr>
            <w:rStyle w:val="Hipervnculo"/>
            <w:rFonts w:ascii="Times New Roman" w:eastAsia="Arial" w:hAnsi="Times New Roman" w:cs="Times New Roman"/>
            <w:sz w:val="24"/>
            <w:szCs w:val="24"/>
            <w:lang w:eastAsia="es-MX"/>
          </w:rPr>
          <w:t>https://doi.org/10.32645/13906925.56</w:t>
        </w:r>
      </w:hyperlink>
    </w:p>
    <w:p w14:paraId="39CB32B8"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Instituto de Estadística de la UNESCO (2013). Uso de las TIC en educación en América Latina y el Caribe. </w:t>
      </w:r>
      <w:r>
        <w:rPr>
          <w:rFonts w:ascii="Times New Roman" w:eastAsia="Arial" w:hAnsi="Times New Roman" w:cs="Times New Roman"/>
          <w:i/>
          <w:iCs/>
          <w:sz w:val="24"/>
          <w:szCs w:val="24"/>
          <w:lang w:eastAsia="es-MX"/>
        </w:rPr>
        <w:t>Análisis regional de la integración de las TIC en la educación y de la aptitud digital (e-readiness)</w:t>
      </w:r>
      <w:r>
        <w:rPr>
          <w:rFonts w:ascii="Times New Roman" w:eastAsia="Arial" w:hAnsi="Times New Roman" w:cs="Times New Roman"/>
          <w:sz w:val="24"/>
          <w:szCs w:val="24"/>
          <w:lang w:eastAsia="es-MX"/>
        </w:rPr>
        <w:t xml:space="preserve">. Montreal, Canadá: UNESCO-UIS. </w:t>
      </w:r>
      <w:hyperlink r:id="rId15" w:history="1">
        <w:r>
          <w:rPr>
            <w:rStyle w:val="Hipervnculo"/>
            <w:rFonts w:ascii="Times New Roman" w:eastAsia="Arial" w:hAnsi="Times New Roman" w:cs="Times New Roman"/>
            <w:sz w:val="24"/>
            <w:szCs w:val="24"/>
            <w:lang w:eastAsia="es-MX"/>
          </w:rPr>
          <w:t>https://unesdoc.unesco.org/ark:/48223/pf0000219369</w:t>
        </w:r>
      </w:hyperlink>
    </w:p>
    <w:p w14:paraId="43659316"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Islas, C., y Carranza, M. (2011). Uso de las redes sociales como estrategias de aprendizaje: ¿Transformación educativa? </w:t>
      </w:r>
      <w:r>
        <w:rPr>
          <w:rFonts w:ascii="Times New Roman" w:eastAsia="Arial" w:hAnsi="Times New Roman" w:cs="Times New Roman"/>
          <w:i/>
          <w:iCs/>
          <w:sz w:val="24"/>
          <w:szCs w:val="24"/>
          <w:lang w:eastAsia="es-MX"/>
        </w:rPr>
        <w:t>Apertura</w:t>
      </w:r>
      <w:r>
        <w:rPr>
          <w:rFonts w:ascii="Times New Roman" w:eastAsia="Arial" w:hAnsi="Times New Roman" w:cs="Times New Roman"/>
          <w:sz w:val="24"/>
          <w:szCs w:val="24"/>
          <w:lang w:eastAsia="es-MX"/>
        </w:rPr>
        <w:t xml:space="preserve">, 3 (2), 76–86. </w:t>
      </w:r>
      <w:hyperlink r:id="rId16" w:history="1">
        <w:r>
          <w:rPr>
            <w:rStyle w:val="Hipervnculo"/>
            <w:rFonts w:ascii="Times New Roman" w:eastAsia="Arial" w:hAnsi="Times New Roman" w:cs="Times New Roman"/>
            <w:sz w:val="24"/>
            <w:szCs w:val="24"/>
            <w:lang w:eastAsia="es-MX"/>
          </w:rPr>
          <w:t>https://www.redalyc.org/articulo.oa?id=68822737001</w:t>
        </w:r>
      </w:hyperlink>
    </w:p>
    <w:p w14:paraId="2AC88F75"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López. R., Deniz, A. y Santa Ana, M. (2020). Aceptación, estrés y adicción por el uso de las tecnologías de información y comunicaciones en la educación profesional. El uso de las tecnologías de la información y comunicación en el desempeño de jóvenes universitarios, un diagnóstico regional y multidimensional. México: </w:t>
      </w:r>
      <w:r>
        <w:rPr>
          <w:rFonts w:ascii="Times New Roman" w:eastAsia="Arial" w:hAnsi="Times New Roman" w:cs="Times New Roman"/>
          <w:i/>
          <w:iCs/>
          <w:sz w:val="24"/>
          <w:szCs w:val="24"/>
          <w:lang w:eastAsia="es-MX"/>
        </w:rPr>
        <w:t>Editorial Plaza y Valdés.</w:t>
      </w:r>
      <w:r>
        <w:rPr>
          <w:rFonts w:ascii="Times New Roman" w:eastAsia="Arial" w:hAnsi="Times New Roman" w:cs="Times New Roman"/>
          <w:sz w:val="24"/>
          <w:szCs w:val="24"/>
          <w:lang w:eastAsia="es-MX"/>
        </w:rPr>
        <w:t xml:space="preserve"> </w:t>
      </w:r>
      <w:hyperlink r:id="rId17" w:anchor="page=25" w:history="1">
        <w:r>
          <w:rPr>
            <w:rStyle w:val="Hipervnculo"/>
            <w:rFonts w:ascii="Times New Roman" w:eastAsia="Arial" w:hAnsi="Times New Roman" w:cs="Times New Roman"/>
            <w:sz w:val="24"/>
            <w:szCs w:val="24"/>
            <w:lang w:eastAsia="es-MX"/>
          </w:rPr>
          <w:t>https://www.researchgate.net/profile/Beatriz-Velazquez-2/publication/339055108_El_uso_de_las_Tecnologias_de_la_Informacion_y_Comunicacion_en_el_desempeno_de_jovenes_universitarios/links/60dc9445299bf1ea9ed27bff/El-uso-de-las-Tecnologias-de-la-Informacion-y-Comunicacion-en-el-desempeno-de-jovenes-universitarios.pdf#page=25</w:t>
        </w:r>
      </w:hyperlink>
    </w:p>
    <w:p w14:paraId="6B343486"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Macías, J., Pivaque, E., Giler, P., y Guerrero, D. (2022). Incidencia de las redes sociales y su impacto en el ámbito educativo. </w:t>
      </w:r>
      <w:r>
        <w:rPr>
          <w:rFonts w:ascii="Times New Roman" w:eastAsia="Arial" w:hAnsi="Times New Roman" w:cs="Times New Roman"/>
          <w:i/>
          <w:iCs/>
          <w:sz w:val="24"/>
          <w:szCs w:val="24"/>
          <w:lang w:eastAsia="es-MX"/>
        </w:rPr>
        <w:t>Polo del Conocimiento</w:t>
      </w:r>
      <w:r>
        <w:rPr>
          <w:rFonts w:ascii="Times New Roman" w:eastAsia="Arial" w:hAnsi="Times New Roman" w:cs="Times New Roman"/>
          <w:sz w:val="24"/>
          <w:szCs w:val="24"/>
          <w:lang w:eastAsia="es-MX"/>
        </w:rPr>
        <w:t xml:space="preserve">, 7(8), 2742–2757. </w:t>
      </w:r>
      <w:hyperlink r:id="rId18" w:history="1">
        <w:r>
          <w:rPr>
            <w:rStyle w:val="Hipervnculo"/>
            <w:rFonts w:ascii="Times New Roman" w:eastAsia="Arial" w:hAnsi="Times New Roman" w:cs="Times New Roman"/>
            <w:sz w:val="24"/>
            <w:szCs w:val="24"/>
            <w:lang w:eastAsia="es-MX"/>
          </w:rPr>
          <w:t>https://doi.org/10.23857/pc.v7i8.4536</w:t>
        </w:r>
      </w:hyperlink>
    </w:p>
    <w:p w14:paraId="4CCFDB49"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Olivares, J. (2020). Las redes sociales como herramienta de comunicación en la educación en tiempos de pandemia. </w:t>
      </w:r>
      <w:r>
        <w:rPr>
          <w:rFonts w:ascii="Times New Roman" w:eastAsia="Arial" w:hAnsi="Times New Roman" w:cs="Times New Roman"/>
          <w:i/>
          <w:iCs/>
          <w:sz w:val="24"/>
          <w:szCs w:val="24"/>
          <w:lang w:eastAsia="es-MX"/>
        </w:rPr>
        <w:t>Revista de Comunicación y Salud,</w:t>
      </w:r>
      <w:r>
        <w:rPr>
          <w:rFonts w:ascii="Times New Roman" w:eastAsia="Arial" w:hAnsi="Times New Roman" w:cs="Times New Roman"/>
          <w:sz w:val="24"/>
          <w:szCs w:val="24"/>
          <w:lang w:eastAsia="es-MX"/>
        </w:rPr>
        <w:t xml:space="preserve"> 10 (2), 199–211. </w:t>
      </w:r>
      <w:hyperlink r:id="rId19" w:history="1">
        <w:r>
          <w:rPr>
            <w:rStyle w:val="Hipervnculo"/>
            <w:rFonts w:ascii="Times New Roman" w:eastAsia="Arial" w:hAnsi="Times New Roman" w:cs="Times New Roman"/>
            <w:sz w:val="24"/>
            <w:szCs w:val="24"/>
            <w:lang w:eastAsia="es-MX"/>
          </w:rPr>
          <w:t>https://doi.org/10.35669/rcys.2020.10(2).199-21</w:t>
        </w:r>
      </w:hyperlink>
      <w:r>
        <w:rPr>
          <w:rStyle w:val="Hipervnculo"/>
          <w:rFonts w:ascii="Times New Roman" w:eastAsia="Arial" w:hAnsi="Times New Roman" w:cs="Times New Roman"/>
          <w:sz w:val="24"/>
          <w:szCs w:val="24"/>
          <w:lang w:eastAsia="es-MX"/>
        </w:rPr>
        <w:t>1</w:t>
      </w:r>
    </w:p>
    <w:p w14:paraId="5D1C5ADB"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Oviedo, H.C., y Campo, A. (2005). Aproximación al uso del coeficiente Alfa de Cronbach. </w:t>
      </w:r>
      <w:r>
        <w:rPr>
          <w:rFonts w:ascii="Times New Roman" w:eastAsia="Arial" w:hAnsi="Times New Roman" w:cs="Times New Roman"/>
          <w:i/>
          <w:iCs/>
          <w:sz w:val="24"/>
          <w:szCs w:val="24"/>
          <w:lang w:eastAsia="es-MX"/>
        </w:rPr>
        <w:t>Revista Colombiana de Psiquiatría</w:t>
      </w:r>
      <w:r>
        <w:rPr>
          <w:rFonts w:ascii="Times New Roman" w:eastAsia="Arial" w:hAnsi="Times New Roman" w:cs="Times New Roman"/>
          <w:sz w:val="24"/>
          <w:szCs w:val="24"/>
          <w:lang w:eastAsia="es-MX"/>
        </w:rPr>
        <w:t xml:space="preserve">. 34 (4), 572-580. </w:t>
      </w:r>
      <w:hyperlink r:id="rId20" w:history="1">
        <w:r>
          <w:rPr>
            <w:rStyle w:val="Hipervnculo"/>
            <w:rFonts w:ascii="Times New Roman" w:eastAsia="Arial" w:hAnsi="Times New Roman" w:cs="Times New Roman"/>
            <w:sz w:val="24"/>
            <w:szCs w:val="24"/>
            <w:lang w:eastAsia="es-MX"/>
          </w:rPr>
          <w:t>https://www.redalyc.org/pdf/806/80634409.pdf</w:t>
        </w:r>
      </w:hyperlink>
    </w:p>
    <w:p w14:paraId="23D66D82" w14:textId="77777777" w:rsidR="000A0580" w:rsidRDefault="00A9180F">
      <w:pPr>
        <w:pStyle w:val="Prrafodelista"/>
        <w:numPr>
          <w:ilvl w:val="0"/>
          <w:numId w:val="2"/>
        </w:numPr>
        <w:spacing w:line="480" w:lineRule="auto"/>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eastAsia="es-MX"/>
        </w:rPr>
        <w:t xml:space="preserve">Walpole R, Myers RH, Myers S, Ye K. (2007). Probabilidad y Estadística. México: </w:t>
      </w:r>
      <w:r>
        <w:rPr>
          <w:rFonts w:ascii="Times New Roman" w:eastAsia="Arial" w:hAnsi="Times New Roman" w:cs="Times New Roman"/>
          <w:i/>
          <w:iCs/>
          <w:sz w:val="24"/>
          <w:szCs w:val="24"/>
          <w:lang w:eastAsia="es-MX"/>
        </w:rPr>
        <w:t>Pearson Educación.</w:t>
      </w:r>
    </w:p>
    <w:p w14:paraId="7433E7EB" w14:textId="77777777" w:rsidR="000A0580" w:rsidRDefault="000A0580">
      <w:pPr>
        <w:spacing w:line="480" w:lineRule="auto"/>
        <w:jc w:val="both"/>
        <w:rPr>
          <w:rFonts w:ascii="Times New Roman" w:eastAsia="Arial" w:hAnsi="Times New Roman" w:cs="Times New Roman"/>
          <w:sz w:val="24"/>
          <w:szCs w:val="24"/>
          <w:lang w:eastAsia="es-MX"/>
        </w:rPr>
      </w:pPr>
    </w:p>
    <w:bookmarkEnd w:id="30"/>
    <w:p w14:paraId="06551E75" w14:textId="77777777" w:rsidR="000A0580" w:rsidRDefault="00A9180F">
      <w:pPr>
        <w:spacing w:line="480" w:lineRule="auto"/>
        <w:ind w:left="709" w:hanging="709"/>
        <w:jc w:val="both"/>
        <w:rPr>
          <w:rFonts w:ascii="Times New Roman" w:hAnsi="Times New Roman" w:cs="Times New Roman"/>
          <w:b/>
          <w:bCs/>
          <w:sz w:val="24"/>
          <w:szCs w:val="24"/>
        </w:rPr>
      </w:pPr>
      <w:r>
        <w:rPr>
          <w:rFonts w:ascii="Times New Roman" w:hAnsi="Times New Roman" w:cs="Times New Roman"/>
          <w:b/>
          <w:bCs/>
          <w:sz w:val="24"/>
          <w:szCs w:val="24"/>
        </w:rPr>
        <w:t>DATOS DE LOS AUTORES.</w:t>
      </w:r>
    </w:p>
    <w:p w14:paraId="0A7E1A31" w14:textId="77777777" w:rsidR="000A0580" w:rsidRDefault="00A9180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Alma Alejandra Morales Bojórquez. Estudiante de la Licenciatura en Mercadotecnia. División Académica de Ciencias Económico Administrativas de la Universidad Juárez Autónoma de Tabasco. Correo electrónico: </w:t>
      </w:r>
      <w:hyperlink r:id="rId21" w:history="1">
        <w:r>
          <w:rPr>
            <w:rStyle w:val="Hipervnculo"/>
            <w:rFonts w:ascii="Times New Roman" w:hAnsi="Times New Roman" w:cs="Times New Roman"/>
            <w:sz w:val="24"/>
            <w:szCs w:val="24"/>
          </w:rPr>
          <w:t>ale.moba51@gmail.com</w:t>
        </w:r>
      </w:hyperlink>
    </w:p>
    <w:p w14:paraId="22BF794F" w14:textId="77777777" w:rsidR="000A0580" w:rsidRDefault="00A9180F">
      <w:pPr>
        <w:spacing w:line="480" w:lineRule="auto"/>
        <w:jc w:val="both"/>
        <w:rPr>
          <w:rStyle w:val="Hipervnculo"/>
          <w:rFonts w:ascii="Times New Roman" w:hAnsi="Times New Roman"/>
          <w:color w:val="auto"/>
          <w:sz w:val="24"/>
          <w:szCs w:val="24"/>
          <w:u w:val="none"/>
        </w:rPr>
      </w:pPr>
      <w:r>
        <w:rPr>
          <w:rFonts w:ascii="Times New Roman" w:hAnsi="Times New Roman" w:cs="Times New Roman"/>
          <w:sz w:val="24"/>
          <w:szCs w:val="24"/>
          <w:lang w:val="es-ES"/>
        </w:rPr>
        <w:t xml:space="preserve">2. Abraham Gerardo Pérez Sandoval (Autor de correspondencia). Doctor en Alta Dirección por el Instituto Universitario Puebla, Maestro en Administración y Licenciado en Contaduría Pública por la Universidad Juárez Autónoma de Tabasco. Profesor Investigador de la Universidad Juárez Autónoma de Tabasco en la División Académica de Ciencias Económico Administrativas (DACEA). Correo electrónico: </w:t>
      </w:r>
      <w:hyperlink r:id="rId22" w:history="1">
        <w:r>
          <w:rPr>
            <w:rStyle w:val="Hipervnculo"/>
            <w:rFonts w:ascii="Times New Roman" w:hAnsi="Times New Roman" w:cs="Times New Roman"/>
            <w:sz w:val="24"/>
            <w:szCs w:val="24"/>
            <w:lang w:val="es-ES"/>
          </w:rPr>
          <w:t>lcp_sandoval88@hotmail.com</w:t>
        </w:r>
      </w:hyperlink>
      <w:r>
        <w:rPr>
          <w:rStyle w:val="Hipervnculo"/>
          <w:rFonts w:ascii="Times New Roman" w:hAnsi="Times New Roman" w:cs="Times New Roman"/>
          <w:sz w:val="24"/>
          <w:szCs w:val="24"/>
        </w:rPr>
        <w:t xml:space="preserve"> ; </w:t>
      </w:r>
      <w:r>
        <w:rPr>
          <w:rStyle w:val="Hipervnculo"/>
          <w:rFonts w:ascii="Times New Roman" w:hAnsi="Times New Roman" w:cs="Times New Roman"/>
          <w:color w:val="auto"/>
          <w:sz w:val="24"/>
          <w:szCs w:val="24"/>
          <w:u w:val="none"/>
        </w:rPr>
        <w:t xml:space="preserve">ORCID: </w:t>
      </w:r>
      <w:hyperlink r:id="rId23" w:history="1">
        <w:r>
          <w:rPr>
            <w:rStyle w:val="Hipervnculo"/>
            <w:rFonts w:ascii="Times New Roman" w:hAnsi="Times New Roman"/>
            <w:sz w:val="24"/>
            <w:szCs w:val="24"/>
          </w:rPr>
          <w:t>https://orcid.org/0000-0003-0657-3021</w:t>
        </w:r>
      </w:hyperlink>
    </w:p>
    <w:p w14:paraId="269D8552" w14:textId="77777777" w:rsidR="000A0580" w:rsidRDefault="000A0580">
      <w:pPr>
        <w:spacing w:line="480" w:lineRule="auto"/>
        <w:jc w:val="both"/>
        <w:rPr>
          <w:rStyle w:val="Hipervnculo"/>
          <w:rFonts w:ascii="Times New Roman" w:hAnsi="Times New Roman"/>
          <w:color w:val="auto"/>
          <w:sz w:val="24"/>
          <w:szCs w:val="24"/>
          <w:u w:val="none"/>
        </w:rPr>
      </w:pPr>
    </w:p>
    <w:p w14:paraId="0410686B" w14:textId="77777777" w:rsidR="000A0580" w:rsidRDefault="00A9180F">
      <w:pPr>
        <w:spacing w:line="480" w:lineRule="auto"/>
        <w:jc w:val="both"/>
        <w:rPr>
          <w:rStyle w:val="Hipervnculo"/>
          <w:rFonts w:ascii="Times New Roman" w:hAnsi="Times New Roman"/>
          <w:color w:val="auto"/>
          <w:sz w:val="24"/>
          <w:szCs w:val="24"/>
          <w:u w:val="none"/>
        </w:rPr>
      </w:pPr>
      <w:r>
        <w:rPr>
          <w:rStyle w:val="Hipervnculo"/>
          <w:rFonts w:ascii="Times New Roman" w:hAnsi="Times New Roman"/>
          <w:color w:val="auto"/>
          <w:sz w:val="24"/>
          <w:szCs w:val="24"/>
          <w:u w:val="none"/>
        </w:rPr>
        <w:t xml:space="preserve">3. Germán Martínez Prats. </w:t>
      </w:r>
      <w:r>
        <w:rPr>
          <w:rStyle w:val="Hipervnculo"/>
          <w:rFonts w:ascii="Times New Roman" w:hAnsi="Times New Roman"/>
          <w:color w:val="auto"/>
          <w:sz w:val="24"/>
          <w:szCs w:val="24"/>
          <w:u w:val="none"/>
        </w:rPr>
        <w:t>Doctor en Gobierno y Administración Pública de la Escuela Libre de Ciencias Políticas y</w:t>
      </w:r>
    </w:p>
    <w:p w14:paraId="04828B3F" w14:textId="77777777" w:rsidR="000A0580" w:rsidRDefault="00A9180F">
      <w:pPr>
        <w:spacing w:line="480" w:lineRule="auto"/>
        <w:jc w:val="both"/>
        <w:rPr>
          <w:rFonts w:ascii="Times New Roman" w:eastAsia="Helvetica" w:hAnsi="Times New Roman"/>
          <w:color w:val="222222"/>
          <w:sz w:val="24"/>
          <w:szCs w:val="24"/>
          <w:shd w:val="clear" w:color="auto" w:fill="FFFFFF"/>
        </w:rPr>
      </w:pPr>
      <w:r>
        <w:rPr>
          <w:rStyle w:val="Hipervnculo"/>
          <w:rFonts w:ascii="Times New Roman" w:hAnsi="Times New Roman"/>
          <w:color w:val="auto"/>
          <w:sz w:val="24"/>
          <w:szCs w:val="24"/>
          <w:u w:val="none"/>
        </w:rPr>
        <w:t xml:space="preserve">Administración Pública de Oriente; Profesor Investigador de la Universidad Juárez Autónoma De Tabasco, División Académica De Ciencias Económico Administrativas (DACEA). Correo electronico: </w:t>
      </w:r>
      <w:hyperlink r:id="rId24" w:history="1">
        <w:r>
          <w:rPr>
            <w:rStyle w:val="Hipervnculo"/>
            <w:rFonts w:ascii="Times New Roman" w:eastAsia="Helvetica" w:hAnsi="Times New Roman" w:cs="Times New Roman"/>
            <w:sz w:val="24"/>
            <w:szCs w:val="24"/>
            <w:shd w:val="clear" w:color="auto" w:fill="FFFFFF"/>
          </w:rPr>
          <w:t>GERMANMTZPRATS@hotmail.com</w:t>
        </w:r>
      </w:hyperlink>
      <w:r>
        <w:rPr>
          <w:rFonts w:ascii="Times New Roman" w:eastAsia="Helvetica" w:hAnsi="Times New Roman" w:cs="Times New Roman"/>
          <w:color w:val="222222"/>
          <w:sz w:val="24"/>
          <w:szCs w:val="24"/>
          <w:shd w:val="clear" w:color="auto" w:fill="FFFFFF"/>
        </w:rPr>
        <w:t xml:space="preserve"> ; ORCID: </w:t>
      </w:r>
      <w:hyperlink r:id="rId25" w:history="1">
        <w:r>
          <w:rPr>
            <w:rStyle w:val="Hipervnculo"/>
            <w:rFonts w:ascii="Times New Roman" w:eastAsia="Helvetica" w:hAnsi="Times New Roman"/>
            <w:sz w:val="24"/>
            <w:szCs w:val="24"/>
            <w:shd w:val="clear" w:color="auto" w:fill="FFFFFF"/>
          </w:rPr>
          <w:t>https://orcid.org/0000-0001-6371-448X</w:t>
        </w:r>
      </w:hyperlink>
    </w:p>
    <w:p w14:paraId="1F24901C" w14:textId="77777777" w:rsidR="000A0580" w:rsidRDefault="000A0580">
      <w:pPr>
        <w:spacing w:line="480" w:lineRule="auto"/>
        <w:jc w:val="both"/>
        <w:rPr>
          <w:rFonts w:ascii="Times New Roman" w:eastAsia="Helvetica" w:hAnsi="Times New Roman"/>
          <w:color w:val="222222"/>
          <w:sz w:val="24"/>
          <w:szCs w:val="24"/>
          <w:shd w:val="clear" w:color="auto" w:fill="FFFFFF"/>
        </w:rPr>
      </w:pPr>
    </w:p>
    <w:p w14:paraId="58B939B1" w14:textId="77777777" w:rsidR="000A0580" w:rsidRDefault="000A0580">
      <w:pPr>
        <w:spacing w:line="480" w:lineRule="auto"/>
        <w:jc w:val="both"/>
        <w:rPr>
          <w:rFonts w:ascii="Times New Roman" w:eastAsia="Helvetica" w:hAnsi="Times New Roman"/>
          <w:color w:val="222222"/>
          <w:sz w:val="24"/>
          <w:szCs w:val="24"/>
          <w:shd w:val="clear" w:color="auto" w:fill="FFFFFF"/>
        </w:rPr>
      </w:pPr>
    </w:p>
    <w:p w14:paraId="54E72BFE" w14:textId="77777777" w:rsidR="000A0580" w:rsidRDefault="000A0580">
      <w:pPr>
        <w:spacing w:line="480" w:lineRule="auto"/>
        <w:jc w:val="both"/>
        <w:rPr>
          <w:rFonts w:ascii="Helvetica" w:eastAsia="Helvetica" w:hAnsi="Helvetica" w:cs="Helvetica"/>
          <w:color w:val="222222"/>
          <w:sz w:val="16"/>
          <w:szCs w:val="16"/>
          <w:shd w:val="clear" w:color="auto" w:fill="FFFFFF"/>
        </w:rPr>
      </w:pPr>
    </w:p>
    <w:p w14:paraId="438F904E" w14:textId="77777777" w:rsidR="000A0580" w:rsidRDefault="000A0580">
      <w:pPr>
        <w:spacing w:line="480" w:lineRule="auto"/>
        <w:jc w:val="both"/>
        <w:rPr>
          <w:rFonts w:ascii="Helvetica" w:eastAsia="Helvetica" w:hAnsi="Helvetica" w:cs="Helvetica"/>
          <w:color w:val="222222"/>
          <w:sz w:val="16"/>
          <w:szCs w:val="16"/>
          <w:shd w:val="clear" w:color="auto" w:fill="FFFFFF"/>
        </w:rPr>
      </w:pPr>
    </w:p>
    <w:p w14:paraId="759FE2CA" w14:textId="77777777" w:rsidR="000A0580" w:rsidRDefault="000A0580">
      <w:pPr>
        <w:spacing w:line="480" w:lineRule="auto"/>
        <w:jc w:val="both"/>
        <w:rPr>
          <w:rFonts w:ascii="Times New Roman" w:hAnsi="Times New Roman" w:cs="Times New Roman"/>
          <w:sz w:val="24"/>
          <w:szCs w:val="24"/>
        </w:rPr>
      </w:pPr>
    </w:p>
    <w:sectPr w:rsidR="000A0580">
      <w:footerReference w:type="default" r:id="rId2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0A7B8" w14:textId="77777777" w:rsidR="000A0580" w:rsidRDefault="00A9180F">
      <w:pPr>
        <w:spacing w:line="240" w:lineRule="auto"/>
      </w:pPr>
      <w:r>
        <w:separator/>
      </w:r>
    </w:p>
  </w:endnote>
  <w:endnote w:type="continuationSeparator" w:id="0">
    <w:p w14:paraId="10797A14" w14:textId="77777777" w:rsidR="000A0580" w:rsidRDefault="00A91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00"/>
    <w:family w:val="roman"/>
    <w:pitch w:val="variable"/>
    <w:sig w:usb0="00000000" w:usb1="80000000" w:usb2="00000008"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等线 Light">
    <w:altName w:val="Segoe Print"/>
    <w:panose1 w:val="02010600030101010101"/>
    <w:charset w:val="00"/>
    <w:family w:val="auto"/>
    <w:pitch w:val="default"/>
  </w:font>
  <w:font w:name="Consolas">
    <w:panose1 w:val="020B0609020204030204"/>
    <w:charset w:val="00"/>
    <w:family w:val="modern"/>
    <w:pitch w:val="default"/>
    <w:sig w:usb0="E00006FF" w:usb1="0000FCFF" w:usb2="00000001" w:usb3="00000000" w:csb0="6000019F" w:csb1="DFD7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00"/>
    <w:family w:val="auto"/>
    <w:pitch w:val="default"/>
  </w:font>
  <w:font w:name="Cambria Math">
    <w:panose1 w:val="02040503050406030204"/>
    <w:charset w:val="00"/>
    <w:family w:val="roman"/>
    <w:pitch w:val="default"/>
    <w:sig w:usb0="E00006FF" w:usb1="420024FF" w:usb2="02000000" w:usb3="00000000" w:csb0="2000019F" w:csb1="00000000"/>
  </w:font>
  <w:font w:name="Helvetica">
    <w:altName w:val="Arial"/>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849508"/>
      <w:docPartObj>
        <w:docPartGallery w:val="AutoText"/>
      </w:docPartObj>
    </w:sdtPr>
    <w:sdtEndPr/>
    <w:sdtContent>
      <w:p w14:paraId="671DD151" w14:textId="77777777" w:rsidR="000A0580" w:rsidRDefault="00A9180F">
        <w:pPr>
          <w:pStyle w:val="Piedepgina"/>
          <w:jc w:val="right"/>
        </w:pPr>
        <w:r>
          <w:fldChar w:fldCharType="begin"/>
        </w:r>
        <w:r>
          <w:instrText>PAGE   \* MERGEFORMAT</w:instrText>
        </w:r>
        <w:r>
          <w:fldChar w:fldCharType="separate"/>
        </w:r>
        <w:r>
          <w:rPr>
            <w:lang w:val="es-ES"/>
          </w:rPr>
          <w:t>2</w:t>
        </w:r>
        <w:r>
          <w:fldChar w:fldCharType="end"/>
        </w:r>
      </w:p>
    </w:sdtContent>
  </w:sdt>
  <w:p w14:paraId="7DF3FBCB" w14:textId="77777777" w:rsidR="000A0580" w:rsidRDefault="000A05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4B1C2" w14:textId="77777777" w:rsidR="000A0580" w:rsidRDefault="00A9180F">
      <w:pPr>
        <w:spacing w:after="0"/>
      </w:pPr>
      <w:r>
        <w:separator/>
      </w:r>
    </w:p>
  </w:footnote>
  <w:footnote w:type="continuationSeparator" w:id="0">
    <w:p w14:paraId="100AEFB8" w14:textId="77777777" w:rsidR="000A0580" w:rsidRDefault="00A918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61025"/>
    <w:multiLevelType w:val="multilevel"/>
    <w:tmpl w:val="36C610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F51100C"/>
    <w:multiLevelType w:val="multilevel"/>
    <w:tmpl w:val="7F511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222645">
    <w:abstractNumId w:val="1"/>
  </w:num>
  <w:num w:numId="2" w16cid:durableId="666638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7"/>
  <w:proofState w:grammar="clean"/>
  <w:revisionView w:inkAnnotation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AA"/>
    <w:rsid w:val="00025233"/>
    <w:rsid w:val="00030794"/>
    <w:rsid w:val="00041F7D"/>
    <w:rsid w:val="000523BC"/>
    <w:rsid w:val="00055066"/>
    <w:rsid w:val="00061E72"/>
    <w:rsid w:val="000722FB"/>
    <w:rsid w:val="000806E2"/>
    <w:rsid w:val="000839E8"/>
    <w:rsid w:val="00093822"/>
    <w:rsid w:val="000A0580"/>
    <w:rsid w:val="000A4DA3"/>
    <w:rsid w:val="000C1633"/>
    <w:rsid w:val="000C19FC"/>
    <w:rsid w:val="000D2A3C"/>
    <w:rsid w:val="000E6FA5"/>
    <w:rsid w:val="000F30E6"/>
    <w:rsid w:val="000F4030"/>
    <w:rsid w:val="00100703"/>
    <w:rsid w:val="0010072C"/>
    <w:rsid w:val="00113C5D"/>
    <w:rsid w:val="00115AC2"/>
    <w:rsid w:val="00122750"/>
    <w:rsid w:val="0013174C"/>
    <w:rsid w:val="00135EB0"/>
    <w:rsid w:val="00142D23"/>
    <w:rsid w:val="001458E0"/>
    <w:rsid w:val="00150236"/>
    <w:rsid w:val="001571CB"/>
    <w:rsid w:val="001944AF"/>
    <w:rsid w:val="001A28EF"/>
    <w:rsid w:val="001C4332"/>
    <w:rsid w:val="001D482A"/>
    <w:rsid w:val="0020335B"/>
    <w:rsid w:val="0021347E"/>
    <w:rsid w:val="002270BE"/>
    <w:rsid w:val="002270D7"/>
    <w:rsid w:val="0023513F"/>
    <w:rsid w:val="00243A70"/>
    <w:rsid w:val="002441C2"/>
    <w:rsid w:val="0025220D"/>
    <w:rsid w:val="00273E28"/>
    <w:rsid w:val="00281454"/>
    <w:rsid w:val="00284910"/>
    <w:rsid w:val="002858F3"/>
    <w:rsid w:val="002C1526"/>
    <w:rsid w:val="002D7A24"/>
    <w:rsid w:val="002E4779"/>
    <w:rsid w:val="002F5A7B"/>
    <w:rsid w:val="003028A8"/>
    <w:rsid w:val="00317190"/>
    <w:rsid w:val="003233AF"/>
    <w:rsid w:val="003244A8"/>
    <w:rsid w:val="00324E46"/>
    <w:rsid w:val="00336168"/>
    <w:rsid w:val="00355073"/>
    <w:rsid w:val="003644FB"/>
    <w:rsid w:val="0037537E"/>
    <w:rsid w:val="00377BF1"/>
    <w:rsid w:val="00392D9B"/>
    <w:rsid w:val="003A6CCA"/>
    <w:rsid w:val="003D38C0"/>
    <w:rsid w:val="003D73DB"/>
    <w:rsid w:val="003E0623"/>
    <w:rsid w:val="003E74AB"/>
    <w:rsid w:val="00410E99"/>
    <w:rsid w:val="0041294A"/>
    <w:rsid w:val="00420984"/>
    <w:rsid w:val="004254DC"/>
    <w:rsid w:val="00440EE2"/>
    <w:rsid w:val="0045144B"/>
    <w:rsid w:val="004644C5"/>
    <w:rsid w:val="00470005"/>
    <w:rsid w:val="004825B5"/>
    <w:rsid w:val="00491EE9"/>
    <w:rsid w:val="004A77A1"/>
    <w:rsid w:val="004B455C"/>
    <w:rsid w:val="004B769F"/>
    <w:rsid w:val="004B7E2F"/>
    <w:rsid w:val="004C1E3D"/>
    <w:rsid w:val="004C5A7F"/>
    <w:rsid w:val="004F3DC3"/>
    <w:rsid w:val="004F6AB3"/>
    <w:rsid w:val="005218B1"/>
    <w:rsid w:val="00532E16"/>
    <w:rsid w:val="00533BDA"/>
    <w:rsid w:val="00540AC3"/>
    <w:rsid w:val="00547956"/>
    <w:rsid w:val="00547AE2"/>
    <w:rsid w:val="00556D68"/>
    <w:rsid w:val="005653C3"/>
    <w:rsid w:val="005729EC"/>
    <w:rsid w:val="00573CAA"/>
    <w:rsid w:val="00573D1E"/>
    <w:rsid w:val="00583B2E"/>
    <w:rsid w:val="00594FA7"/>
    <w:rsid w:val="005A37A2"/>
    <w:rsid w:val="005C0B31"/>
    <w:rsid w:val="005E6454"/>
    <w:rsid w:val="005F3375"/>
    <w:rsid w:val="006036A5"/>
    <w:rsid w:val="00613EA0"/>
    <w:rsid w:val="00614F63"/>
    <w:rsid w:val="00625285"/>
    <w:rsid w:val="0062578C"/>
    <w:rsid w:val="00637F06"/>
    <w:rsid w:val="00643827"/>
    <w:rsid w:val="00656191"/>
    <w:rsid w:val="006665D1"/>
    <w:rsid w:val="00667906"/>
    <w:rsid w:val="006A6D72"/>
    <w:rsid w:val="006A7289"/>
    <w:rsid w:val="006B23E6"/>
    <w:rsid w:val="006B69B5"/>
    <w:rsid w:val="006D18F0"/>
    <w:rsid w:val="006D4FDC"/>
    <w:rsid w:val="006E1C2D"/>
    <w:rsid w:val="006E5C79"/>
    <w:rsid w:val="006F1CFB"/>
    <w:rsid w:val="007020EC"/>
    <w:rsid w:val="00712F69"/>
    <w:rsid w:val="0072393D"/>
    <w:rsid w:val="007304CE"/>
    <w:rsid w:val="00730DBD"/>
    <w:rsid w:val="00746D4C"/>
    <w:rsid w:val="007575B4"/>
    <w:rsid w:val="00777AF5"/>
    <w:rsid w:val="00786BC1"/>
    <w:rsid w:val="00793487"/>
    <w:rsid w:val="007A2379"/>
    <w:rsid w:val="007B1075"/>
    <w:rsid w:val="007C1F32"/>
    <w:rsid w:val="007D0458"/>
    <w:rsid w:val="007D1397"/>
    <w:rsid w:val="007D51BC"/>
    <w:rsid w:val="007D6546"/>
    <w:rsid w:val="007D704A"/>
    <w:rsid w:val="007E0565"/>
    <w:rsid w:val="007E5D3B"/>
    <w:rsid w:val="007F29FA"/>
    <w:rsid w:val="007F3F77"/>
    <w:rsid w:val="00802CA2"/>
    <w:rsid w:val="00812B86"/>
    <w:rsid w:val="00826490"/>
    <w:rsid w:val="0083685A"/>
    <w:rsid w:val="00843C68"/>
    <w:rsid w:val="0085049B"/>
    <w:rsid w:val="0085425E"/>
    <w:rsid w:val="008543A0"/>
    <w:rsid w:val="0087220E"/>
    <w:rsid w:val="0087448D"/>
    <w:rsid w:val="0087633F"/>
    <w:rsid w:val="008A1FFE"/>
    <w:rsid w:val="008B7CFD"/>
    <w:rsid w:val="008D691E"/>
    <w:rsid w:val="008E2782"/>
    <w:rsid w:val="008E627B"/>
    <w:rsid w:val="008F054B"/>
    <w:rsid w:val="008F7456"/>
    <w:rsid w:val="0090114B"/>
    <w:rsid w:val="0091608D"/>
    <w:rsid w:val="00916D49"/>
    <w:rsid w:val="00917A8B"/>
    <w:rsid w:val="00950771"/>
    <w:rsid w:val="00955350"/>
    <w:rsid w:val="00960B03"/>
    <w:rsid w:val="00967684"/>
    <w:rsid w:val="009722D2"/>
    <w:rsid w:val="00972377"/>
    <w:rsid w:val="00975316"/>
    <w:rsid w:val="00981061"/>
    <w:rsid w:val="00986961"/>
    <w:rsid w:val="00986F5B"/>
    <w:rsid w:val="009932C3"/>
    <w:rsid w:val="009A316E"/>
    <w:rsid w:val="009B1AA7"/>
    <w:rsid w:val="009B39A6"/>
    <w:rsid w:val="009B427C"/>
    <w:rsid w:val="009D1739"/>
    <w:rsid w:val="009D1D67"/>
    <w:rsid w:val="009D345C"/>
    <w:rsid w:val="009D6B40"/>
    <w:rsid w:val="009E6CED"/>
    <w:rsid w:val="009F0F26"/>
    <w:rsid w:val="009F244A"/>
    <w:rsid w:val="009F2507"/>
    <w:rsid w:val="00A00C34"/>
    <w:rsid w:val="00A139DB"/>
    <w:rsid w:val="00A14DF1"/>
    <w:rsid w:val="00A202FB"/>
    <w:rsid w:val="00A3122A"/>
    <w:rsid w:val="00A31D2E"/>
    <w:rsid w:val="00A41B78"/>
    <w:rsid w:val="00A461F2"/>
    <w:rsid w:val="00A46FFD"/>
    <w:rsid w:val="00A60CA0"/>
    <w:rsid w:val="00A625AA"/>
    <w:rsid w:val="00A725DF"/>
    <w:rsid w:val="00A72E34"/>
    <w:rsid w:val="00A73DE9"/>
    <w:rsid w:val="00A75B37"/>
    <w:rsid w:val="00A81438"/>
    <w:rsid w:val="00A9180F"/>
    <w:rsid w:val="00AA204E"/>
    <w:rsid w:val="00AB135D"/>
    <w:rsid w:val="00AB2DAC"/>
    <w:rsid w:val="00AD51F8"/>
    <w:rsid w:val="00AD6223"/>
    <w:rsid w:val="00AD6447"/>
    <w:rsid w:val="00AD7CB4"/>
    <w:rsid w:val="00B07E0A"/>
    <w:rsid w:val="00B25019"/>
    <w:rsid w:val="00B33756"/>
    <w:rsid w:val="00B33F63"/>
    <w:rsid w:val="00B3574C"/>
    <w:rsid w:val="00B66CD5"/>
    <w:rsid w:val="00B67452"/>
    <w:rsid w:val="00B7385B"/>
    <w:rsid w:val="00B76D7C"/>
    <w:rsid w:val="00B83CCB"/>
    <w:rsid w:val="00B84907"/>
    <w:rsid w:val="00B869F2"/>
    <w:rsid w:val="00BA0853"/>
    <w:rsid w:val="00BA1450"/>
    <w:rsid w:val="00BA40BC"/>
    <w:rsid w:val="00BA4C6D"/>
    <w:rsid w:val="00BA57AA"/>
    <w:rsid w:val="00BC0E1F"/>
    <w:rsid w:val="00BC4CC2"/>
    <w:rsid w:val="00BD75AA"/>
    <w:rsid w:val="00BE5607"/>
    <w:rsid w:val="00BE7C46"/>
    <w:rsid w:val="00BE7F9B"/>
    <w:rsid w:val="00BF5829"/>
    <w:rsid w:val="00C0189D"/>
    <w:rsid w:val="00C03BEB"/>
    <w:rsid w:val="00C078EC"/>
    <w:rsid w:val="00C30ED9"/>
    <w:rsid w:val="00C320D5"/>
    <w:rsid w:val="00C73775"/>
    <w:rsid w:val="00C77D4B"/>
    <w:rsid w:val="00C80EAA"/>
    <w:rsid w:val="00C93761"/>
    <w:rsid w:val="00CA42AD"/>
    <w:rsid w:val="00CD56E9"/>
    <w:rsid w:val="00CE4ED8"/>
    <w:rsid w:val="00CE7392"/>
    <w:rsid w:val="00CF0515"/>
    <w:rsid w:val="00CF4D56"/>
    <w:rsid w:val="00D26A1B"/>
    <w:rsid w:val="00D35C4F"/>
    <w:rsid w:val="00D442C8"/>
    <w:rsid w:val="00D45A6C"/>
    <w:rsid w:val="00D66D9C"/>
    <w:rsid w:val="00D80C75"/>
    <w:rsid w:val="00D95655"/>
    <w:rsid w:val="00D967D9"/>
    <w:rsid w:val="00D9682C"/>
    <w:rsid w:val="00DA28C0"/>
    <w:rsid w:val="00DB27AF"/>
    <w:rsid w:val="00DB77AF"/>
    <w:rsid w:val="00DD448E"/>
    <w:rsid w:val="00DE345C"/>
    <w:rsid w:val="00DF6BCE"/>
    <w:rsid w:val="00E00989"/>
    <w:rsid w:val="00E24B3D"/>
    <w:rsid w:val="00E32CA3"/>
    <w:rsid w:val="00E35CA3"/>
    <w:rsid w:val="00E40B34"/>
    <w:rsid w:val="00E44A11"/>
    <w:rsid w:val="00E64B0D"/>
    <w:rsid w:val="00E70299"/>
    <w:rsid w:val="00E824C0"/>
    <w:rsid w:val="00E83829"/>
    <w:rsid w:val="00E84CFF"/>
    <w:rsid w:val="00E92660"/>
    <w:rsid w:val="00E937E6"/>
    <w:rsid w:val="00E93C41"/>
    <w:rsid w:val="00EA0A97"/>
    <w:rsid w:val="00EA5EAE"/>
    <w:rsid w:val="00EB1E73"/>
    <w:rsid w:val="00EB3A70"/>
    <w:rsid w:val="00EB488A"/>
    <w:rsid w:val="00EC6575"/>
    <w:rsid w:val="00EC71B9"/>
    <w:rsid w:val="00EE11FA"/>
    <w:rsid w:val="00EF6025"/>
    <w:rsid w:val="00F12381"/>
    <w:rsid w:val="00F147A6"/>
    <w:rsid w:val="00F40406"/>
    <w:rsid w:val="00F47E81"/>
    <w:rsid w:val="00F56925"/>
    <w:rsid w:val="00F60462"/>
    <w:rsid w:val="00F617C6"/>
    <w:rsid w:val="00F625F9"/>
    <w:rsid w:val="00F77205"/>
    <w:rsid w:val="00F87BBF"/>
    <w:rsid w:val="00F95BD4"/>
    <w:rsid w:val="00FA08B5"/>
    <w:rsid w:val="00FB1357"/>
    <w:rsid w:val="00FB359F"/>
    <w:rsid w:val="00FB3673"/>
    <w:rsid w:val="00FB3AD5"/>
    <w:rsid w:val="00FB4D2E"/>
    <w:rsid w:val="00FC0056"/>
    <w:rsid w:val="00FC1BAE"/>
    <w:rsid w:val="00FC59F4"/>
    <w:rsid w:val="00FE4464"/>
    <w:rsid w:val="00FE6EE5"/>
    <w:rsid w:val="5E6101E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3CC88E"/>
  <w15:docId w15:val="{1C6D3DB5-50DD-7740-98CA-D2F15613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s-MX" w:eastAsia="en-US"/>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HTMLconformatoprevio">
    <w:name w:val="HTML Preformatted"/>
    <w:basedOn w:val="Normal"/>
    <w:link w:val="HTMLconformatoprevioCar"/>
    <w:uiPriority w:val="99"/>
    <w:semiHidden/>
    <w:unhideWhenUsed/>
    <w:qFormat/>
    <w:pPr>
      <w:spacing w:after="0" w:line="240" w:lineRule="auto"/>
    </w:pPr>
    <w:rPr>
      <w:rFonts w:ascii="Consolas" w:hAnsi="Consolas"/>
      <w:sz w:val="20"/>
      <w:szCs w:val="20"/>
    </w:r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paragraph" w:styleId="Subttulo">
    <w:name w:val="Subtitle"/>
    <w:basedOn w:val="Normal"/>
    <w:next w:val="Normal"/>
    <w:link w:val="SubttuloCar"/>
    <w:autoRedefine/>
    <w:uiPriority w:val="11"/>
    <w:qFormat/>
    <w:pPr>
      <w:keepNext/>
      <w:keepLines/>
      <w:suppressLineNumbers/>
      <w:spacing w:after="120" w:line="480" w:lineRule="auto"/>
      <w:jc w:val="both"/>
    </w:pPr>
    <w:rPr>
      <w:rFonts w:ascii="Arial" w:eastAsiaTheme="minorEastAsia" w:hAnsi="Arial"/>
      <w:b/>
      <w:bCs/>
      <w:iCs/>
      <w:color w:val="000000" w:themeColor="text1"/>
      <w:sz w:val="24"/>
      <w:szCs w:val="24"/>
      <w:lang w:val="es-ES" w:eastAsia="es-ES"/>
    </w:rPr>
  </w:style>
  <w:style w:type="table" w:styleId="Tablaconcuadrcula">
    <w:name w:val="Table Grid"/>
    <w:basedOn w:val="Tablanormal"/>
    <w:uiPriority w:val="39"/>
    <w:qFormat/>
    <w:pPr>
      <w:jc w:val="both"/>
    </w:pPr>
    <w:rPr>
      <w:rFonts w:ascii="Arial" w:eastAsia="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color w:val="2F5496" w:themeColor="accent1" w:themeShade="BF"/>
    </w:rPr>
  </w:style>
  <w:style w:type="character" w:customStyle="1" w:styleId="SubttuloCar">
    <w:name w:val="Subtítulo Car"/>
    <w:basedOn w:val="Fuentedeprrafopredeter"/>
    <w:link w:val="Subttulo"/>
    <w:uiPriority w:val="11"/>
    <w:rPr>
      <w:rFonts w:ascii="Arial" w:eastAsiaTheme="minorEastAsia" w:hAnsi="Arial"/>
      <w:b/>
      <w:bCs/>
      <w:iCs/>
      <w:color w:val="000000" w:themeColor="text1"/>
      <w:sz w:val="24"/>
      <w:szCs w:val="24"/>
      <w:lang w:val="es-ES" w:eastAsia="es-ES"/>
    </w:rPr>
  </w:style>
  <w:style w:type="character" w:customStyle="1" w:styleId="hps">
    <w:name w:val="hps"/>
    <w:qFormat/>
  </w:style>
  <w:style w:type="table" w:customStyle="1" w:styleId="Tablaconcuadrcula1">
    <w:name w:val="Tabla con cuadrícula1"/>
    <w:basedOn w:val="Tablanormal"/>
    <w:uiPriority w:val="39"/>
    <w:qFormat/>
    <w:pPr>
      <w:jc w:val="both"/>
    </w:pPr>
    <w:rPr>
      <w:rFonts w:ascii="Arial" w:eastAsia="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qFormat/>
    <w:pPr>
      <w:jc w:val="both"/>
    </w:pPr>
    <w:rPr>
      <w:rFonts w:ascii="Arial" w:eastAsia="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pPr>
      <w:jc w:val="both"/>
    </w:pPr>
    <w:rPr>
      <w:rFonts w:ascii="Arial" w:eastAsia="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nformatoprevioCar">
    <w:name w:val="HTML con formato previo Car"/>
    <w:basedOn w:val="Fuentedeprrafopredeter"/>
    <w:link w:val="HTMLconformatoprevio"/>
    <w:uiPriority w:val="99"/>
    <w:semiHidden/>
    <w:qFormat/>
    <w:rPr>
      <w:rFonts w:ascii="Consolas" w:hAnsi="Consolas"/>
      <w:sz w:val="20"/>
      <w:szCs w:val="20"/>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paragraph" w:styleId="Prrafodelista">
    <w:name w:val="List Paragraph"/>
    <w:basedOn w:val="Normal"/>
    <w:uiPriority w:val="34"/>
    <w:qFormat/>
    <w:pPr>
      <w:ind w:left="720"/>
      <w:contextualSpacing/>
    </w:pPr>
  </w:style>
  <w:style w:type="table" w:customStyle="1" w:styleId="Tablaconcuadrcula4">
    <w:name w:val="Tabla con cuadrícula4"/>
    <w:basedOn w:val="Tablanormal"/>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ducaweb.com/noticia/2011/01/31/interaccion-como-eje-aprendizaje-redes-sociales-14570.html" TargetMode="External" /><Relationship Id="rId13" Type="http://schemas.openxmlformats.org/officeDocument/2006/relationships/hyperlink" Target="https://doi.org/10.51798/sijis.v3i1.287" TargetMode="External" /><Relationship Id="rId18" Type="http://schemas.openxmlformats.org/officeDocument/2006/relationships/hyperlink" Target="https://doi.org/10.23857/pc.v7i8.4536" TargetMode="External" /><Relationship Id="rId26" Type="http://schemas.openxmlformats.org/officeDocument/2006/relationships/footer" Target="footer1.xml" /><Relationship Id="rId3" Type="http://schemas.openxmlformats.org/officeDocument/2006/relationships/settings" Target="settings.xml" /><Relationship Id="rId21" Type="http://schemas.openxmlformats.org/officeDocument/2006/relationships/hyperlink" Target="mailto:ale.moba51@gmail.com" TargetMode="External" /><Relationship Id="rId7" Type="http://schemas.openxmlformats.org/officeDocument/2006/relationships/image" Target="media/image1.png" /><Relationship Id="rId12" Type="http://schemas.openxmlformats.org/officeDocument/2006/relationships/hyperlink" Target="https://doi.org/10.48082/espacios-a24v45n01p04" TargetMode="External" /><Relationship Id="rId17" Type="http://schemas.openxmlformats.org/officeDocument/2006/relationships/hyperlink" Target="https://www.researchgate.net/profile/Beatriz-Velazquez-2/publication/339055108_El_uso_de_las_Tecnologias_de_la_Informacion_y_Comunicacion_en_el_desempeno_de_jovenes_universitarios/links/60dc9445299bf1ea9ed27bff/El-uso-de-las-Tecnologias-de-la-Informacion-y-Comunicacion-en-el-desempeno-de-jovenes-universitarios.pdf" TargetMode="External" /><Relationship Id="rId25" Type="http://schemas.openxmlformats.org/officeDocument/2006/relationships/hyperlink" Target="https://orcid.org/0000-0001-6371-448X" TargetMode="External" /><Relationship Id="rId2" Type="http://schemas.openxmlformats.org/officeDocument/2006/relationships/styles" Target="styles.xml" /><Relationship Id="rId16" Type="http://schemas.openxmlformats.org/officeDocument/2006/relationships/hyperlink" Target="https://www.redalyc.org/articulo.oa?id=68822737001" TargetMode="External" /><Relationship Id="rId20" Type="http://schemas.openxmlformats.org/officeDocument/2006/relationships/hyperlink" Target="https://www.redalyc.org/pdf/806/80634409.pdf"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edici.unlp.edu.ar/handle/10915/19437" TargetMode="External" /><Relationship Id="rId24" Type="http://schemas.openxmlformats.org/officeDocument/2006/relationships/hyperlink" Target="mailto:GERMANMTZPRATS@hotmail.com" TargetMode="External" /><Relationship Id="rId5" Type="http://schemas.openxmlformats.org/officeDocument/2006/relationships/footnotes" Target="footnotes.xml" /><Relationship Id="rId15" Type="http://schemas.openxmlformats.org/officeDocument/2006/relationships/hyperlink" Target="https://unesdoc.unesco.org/ark:/48223/pf0000219369" TargetMode="External" /><Relationship Id="rId23" Type="http://schemas.openxmlformats.org/officeDocument/2006/relationships/hyperlink" Target="https://orcid.org/0000-0003-0657-3021" TargetMode="External" /><Relationship Id="rId28" Type="http://schemas.openxmlformats.org/officeDocument/2006/relationships/theme" Target="theme/theme1.xml" /><Relationship Id="rId10" Type="http://schemas.openxmlformats.org/officeDocument/2006/relationships/hyperlink" Target="https://doi.org/10.18294/pm.2019.2200" TargetMode="External" /><Relationship Id="rId19" Type="http://schemas.openxmlformats.org/officeDocument/2006/relationships/hyperlink" Target="https://doi.org/10.35669/rcys.2020.10(2).199-21" TargetMode="External" /><Relationship Id="rId4" Type="http://schemas.openxmlformats.org/officeDocument/2006/relationships/webSettings" Target="webSettings.xml" /><Relationship Id="rId9" Type="http://schemas.openxmlformats.org/officeDocument/2006/relationships/hyperlink" Target="http://www.aimc.es/otros-estudios-trabajos/navegantes-la-red/" TargetMode="External" /><Relationship Id="rId14" Type="http://schemas.openxmlformats.org/officeDocument/2006/relationships/hyperlink" Target="https://doi.org/10.32645/13906925.56" TargetMode="External" /><Relationship Id="rId22" Type="http://schemas.openxmlformats.org/officeDocument/2006/relationships/hyperlink" Target="mailto:lcp_sandoval88@hotmail.com" TargetMode="External" /><Relationship Id="rId27"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5635</Words>
  <Characters>30997</Characters>
  <Application>Microsoft Office Word</Application>
  <DocSecurity>0</DocSecurity>
  <Lines>258</Lines>
  <Paragraphs>73</Paragraphs>
  <ScaleCrop>false</ScaleCrop>
  <Company/>
  <LinksUpToDate>false</LinksUpToDate>
  <CharactersWithSpaces>36559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ABRAHAM GERARDO PEREZ SANDOVAL</dc:creator>
  <cp:lastModifiedBy>Tania Hisell Corredor Avendano</cp:lastModifiedBy>
  <cp:revision>2</cp:revision>
  <dcterms:created xsi:type="dcterms:W3CDTF">2025-10-07T22:16:00Z</dcterms:created>
  <dcterms:modified xsi:type="dcterms:W3CDTF">2025-10-07T22:16:00Z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3082-12.2.0.21931</vt:lpwstr>
  </property>
  <property fmtid="{D5CDD505-2E9C-101B-9397-08002B2CF9AE}" pid="3" name="ICV">
    <vt:lpwstr>259A0997560D43D2AAB51576DB1A44F9_12</vt:lpwstr>
  </property>
</Properties>
</file>