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61C1" w14:textId="6112BF48" w:rsidR="00163F59" w:rsidRPr="006E5C8E" w:rsidRDefault="00163F59" w:rsidP="002B16A3">
      <w:pPr>
        <w:spacing w:after="0" w:line="276" w:lineRule="auto"/>
        <w:jc w:val="center"/>
        <w:rPr>
          <w:rFonts w:ascii="Arial" w:hAnsi="Arial" w:cs="Arial"/>
          <w:b/>
          <w:sz w:val="24"/>
          <w:szCs w:val="24"/>
        </w:rPr>
      </w:pPr>
      <w:r w:rsidRPr="006E5C8E">
        <w:rPr>
          <w:rFonts w:ascii="Arial" w:hAnsi="Arial" w:cs="Arial"/>
          <w:b/>
          <w:sz w:val="24"/>
          <w:szCs w:val="24"/>
        </w:rPr>
        <w:t>EVALUACIÓN DE LA ACTIVIDAD ANTIMICROBIANA DEL ACEITE ESENCIAL DE CITRONELA Y SU SINERGIA CON VENENO DE SERPIENTE PARA EL CONTROL DE FITOPATÓGENOS EN LA INDUSTRIA AGROALIMENTARIA</w:t>
      </w:r>
    </w:p>
    <w:p w14:paraId="49050687" w14:textId="77777777" w:rsidR="00163F59" w:rsidRPr="006E5C8E" w:rsidRDefault="00163F59" w:rsidP="002B16A3">
      <w:pPr>
        <w:spacing w:after="0" w:line="276" w:lineRule="auto"/>
        <w:jc w:val="center"/>
        <w:rPr>
          <w:rFonts w:ascii="Arial" w:hAnsi="Arial" w:cs="Arial"/>
          <w:b/>
          <w:sz w:val="24"/>
          <w:szCs w:val="24"/>
        </w:rPr>
      </w:pPr>
    </w:p>
    <w:p w14:paraId="0C71DCD4" w14:textId="0DFAB322" w:rsidR="007A61C1" w:rsidRPr="006E5C8E" w:rsidRDefault="00163F59" w:rsidP="002B16A3">
      <w:pPr>
        <w:spacing w:after="0" w:line="276" w:lineRule="auto"/>
        <w:jc w:val="center"/>
        <w:rPr>
          <w:rFonts w:ascii="Arial" w:hAnsi="Arial" w:cs="Arial"/>
          <w:b/>
          <w:sz w:val="24"/>
          <w:szCs w:val="24"/>
          <w:lang w:val="en-US"/>
        </w:rPr>
      </w:pPr>
      <w:r w:rsidRPr="006E5C8E">
        <w:rPr>
          <w:rFonts w:ascii="Arial" w:hAnsi="Arial" w:cs="Arial"/>
          <w:b/>
          <w:sz w:val="24"/>
          <w:szCs w:val="24"/>
          <w:lang w:val="en-US"/>
        </w:rPr>
        <w:t xml:space="preserve">ANTIMICROBIAL ACTIVITY EVALUATION OF CITRONELLA ESSENTIAL OIL AND ITS SYNERGY WITH SNAKE VENOM FOR THE CONTROL OF PHYTOPATHOGENS IN THE AGRO-FOOD INDUSTRY </w:t>
      </w:r>
    </w:p>
    <w:p w14:paraId="0C718515" w14:textId="77777777" w:rsidR="00163F59" w:rsidRPr="006E5C8E" w:rsidRDefault="00163F59" w:rsidP="002B16A3">
      <w:pPr>
        <w:spacing w:after="0" w:line="276" w:lineRule="auto"/>
        <w:rPr>
          <w:rFonts w:ascii="Arial" w:hAnsi="Arial" w:cs="Arial"/>
          <w:sz w:val="24"/>
          <w:szCs w:val="24"/>
          <w:lang w:val="en-US"/>
        </w:rPr>
      </w:pPr>
    </w:p>
    <w:p w14:paraId="44521730" w14:textId="77777777" w:rsidR="0041265B" w:rsidRPr="0041265B" w:rsidRDefault="0041265B" w:rsidP="002B16A3">
      <w:pPr>
        <w:spacing w:after="0" w:line="276" w:lineRule="auto"/>
        <w:jc w:val="both"/>
        <w:rPr>
          <w:rFonts w:ascii="Arial" w:hAnsi="Arial" w:cs="Arial"/>
          <w:sz w:val="24"/>
          <w:szCs w:val="24"/>
        </w:rPr>
      </w:pPr>
      <w:r w:rsidRPr="0041265B">
        <w:rPr>
          <w:rFonts w:ascii="Arial" w:hAnsi="Arial" w:cs="Arial"/>
          <w:sz w:val="24"/>
          <w:szCs w:val="24"/>
        </w:rPr>
        <w:t>Gómez-Sampedro Leidy Johanna</w:t>
      </w:r>
    </w:p>
    <w:p w14:paraId="1C506694" w14:textId="77777777" w:rsidR="0041265B" w:rsidRPr="00CB28CD" w:rsidRDefault="0041265B" w:rsidP="002B16A3">
      <w:pPr>
        <w:spacing w:after="0" w:line="276" w:lineRule="auto"/>
        <w:jc w:val="both"/>
        <w:rPr>
          <w:rFonts w:ascii="Arial" w:hAnsi="Arial" w:cs="Arial"/>
          <w:sz w:val="24"/>
          <w:szCs w:val="24"/>
        </w:rPr>
      </w:pPr>
      <w:r w:rsidRPr="00CB28CD">
        <w:rPr>
          <w:rFonts w:ascii="Arial" w:hAnsi="Arial" w:cs="Arial"/>
          <w:sz w:val="24"/>
          <w:szCs w:val="24"/>
        </w:rPr>
        <w:t>Grupo de investigación Giepronal, Escuela de Ciencias Básicas, Tecnología e Ingeniería, Universidad Nacional Abierta y a Distancia</w:t>
      </w:r>
    </w:p>
    <w:p w14:paraId="537C02F2" w14:textId="77777777" w:rsidR="0041265B" w:rsidRPr="005678F9" w:rsidRDefault="0041265B" w:rsidP="002B16A3">
      <w:pPr>
        <w:spacing w:after="0" w:line="276" w:lineRule="auto"/>
        <w:jc w:val="both"/>
        <w:rPr>
          <w:rFonts w:ascii="Arial" w:hAnsi="Arial" w:cs="Arial"/>
          <w:sz w:val="24"/>
          <w:szCs w:val="24"/>
        </w:rPr>
      </w:pPr>
      <w:r w:rsidRPr="005678F9">
        <w:rPr>
          <w:rFonts w:ascii="Arial" w:hAnsi="Arial" w:cs="Arial"/>
          <w:sz w:val="24"/>
          <w:szCs w:val="24"/>
        </w:rPr>
        <w:t>ORCID: https://orcid.org/0000-0001-9078-7051</w:t>
      </w:r>
    </w:p>
    <w:p w14:paraId="5789ED2E" w14:textId="77777777" w:rsidR="0041265B" w:rsidRPr="005678F9" w:rsidRDefault="0041265B" w:rsidP="002B16A3">
      <w:pPr>
        <w:spacing w:after="0" w:line="276" w:lineRule="auto"/>
        <w:jc w:val="both"/>
        <w:rPr>
          <w:rFonts w:ascii="Arial" w:hAnsi="Arial" w:cs="Arial"/>
          <w:sz w:val="24"/>
          <w:szCs w:val="24"/>
        </w:rPr>
      </w:pPr>
      <w:r w:rsidRPr="005678F9">
        <w:rPr>
          <w:rFonts w:ascii="Arial" w:hAnsi="Arial" w:cs="Arial"/>
          <w:sz w:val="24"/>
          <w:szCs w:val="24"/>
        </w:rPr>
        <w:t>Email: leidyj.gomez@unad.edu.co</w:t>
      </w:r>
    </w:p>
    <w:p w14:paraId="69A6AF13" w14:textId="77777777" w:rsidR="00800C23" w:rsidRPr="005678F9" w:rsidRDefault="00800C23" w:rsidP="002B16A3">
      <w:pPr>
        <w:spacing w:after="0" w:line="276" w:lineRule="auto"/>
        <w:rPr>
          <w:rFonts w:ascii="Arial" w:hAnsi="Arial" w:cs="Arial"/>
          <w:sz w:val="24"/>
          <w:szCs w:val="24"/>
        </w:rPr>
      </w:pPr>
    </w:p>
    <w:p w14:paraId="3A975687" w14:textId="6CDFCAB6" w:rsidR="00800C23" w:rsidRPr="001F3CFA" w:rsidRDefault="00800C23" w:rsidP="002B16A3">
      <w:pPr>
        <w:spacing w:after="0" w:line="276" w:lineRule="auto"/>
        <w:rPr>
          <w:rFonts w:ascii="Arial" w:hAnsi="Arial" w:cs="Arial"/>
          <w:sz w:val="24"/>
          <w:szCs w:val="24"/>
        </w:rPr>
      </w:pPr>
      <w:r w:rsidRPr="001F3CFA">
        <w:rPr>
          <w:rFonts w:ascii="Arial" w:hAnsi="Arial" w:cs="Arial"/>
          <w:sz w:val="24"/>
          <w:szCs w:val="24"/>
        </w:rPr>
        <w:t>Autor 2 –</w:t>
      </w:r>
      <w:r w:rsidR="001F3CFA" w:rsidRPr="001F3CFA">
        <w:rPr>
          <w:rFonts w:ascii="Arial" w:hAnsi="Arial" w:cs="Arial"/>
          <w:sz w:val="24"/>
          <w:szCs w:val="24"/>
        </w:rPr>
        <w:t>Deossa Vásquez Diego Segundo</w:t>
      </w:r>
    </w:p>
    <w:p w14:paraId="16A8FC55" w14:textId="77777777" w:rsidR="001F3CFA" w:rsidRPr="00CB28CD" w:rsidRDefault="001F3CFA" w:rsidP="002B16A3">
      <w:pPr>
        <w:spacing w:after="0" w:line="276" w:lineRule="auto"/>
        <w:jc w:val="both"/>
        <w:rPr>
          <w:rFonts w:ascii="Arial" w:hAnsi="Arial" w:cs="Arial"/>
          <w:sz w:val="24"/>
          <w:szCs w:val="24"/>
        </w:rPr>
      </w:pPr>
      <w:r w:rsidRPr="00CB28CD">
        <w:rPr>
          <w:rFonts w:ascii="Arial" w:hAnsi="Arial" w:cs="Arial"/>
          <w:sz w:val="24"/>
          <w:szCs w:val="24"/>
        </w:rPr>
        <w:t>Grupo de investigación Giepronal, Escuela de Ciencias Básicas, Tecnología e Ingeniería, Universidad Nacional Abierta y a Distancia</w:t>
      </w:r>
    </w:p>
    <w:p w14:paraId="4EFF0633" w14:textId="6398E8DB" w:rsidR="001F3CFA" w:rsidRPr="005678F9" w:rsidRDefault="001F3CFA" w:rsidP="002B16A3">
      <w:pPr>
        <w:spacing w:after="0" w:line="276" w:lineRule="auto"/>
        <w:jc w:val="both"/>
        <w:rPr>
          <w:rFonts w:ascii="Arial" w:hAnsi="Arial" w:cs="Arial"/>
          <w:sz w:val="24"/>
          <w:szCs w:val="24"/>
        </w:rPr>
      </w:pPr>
      <w:r w:rsidRPr="005678F9">
        <w:rPr>
          <w:rFonts w:ascii="Arial" w:hAnsi="Arial" w:cs="Arial"/>
          <w:sz w:val="24"/>
          <w:szCs w:val="24"/>
        </w:rPr>
        <w:t>Email: dilusadi@gmail.com</w:t>
      </w:r>
    </w:p>
    <w:p w14:paraId="59871104" w14:textId="77777777" w:rsidR="004250C6" w:rsidRPr="005678F9" w:rsidRDefault="004250C6" w:rsidP="002B16A3">
      <w:pPr>
        <w:pStyle w:val="paragraph"/>
        <w:spacing w:before="0" w:beforeAutospacing="0" w:after="0" w:afterAutospacing="0" w:line="276" w:lineRule="auto"/>
        <w:jc w:val="both"/>
        <w:textAlignment w:val="baseline"/>
        <w:rPr>
          <w:rFonts w:ascii="Arial" w:eastAsiaTheme="minorHAnsi" w:hAnsi="Arial" w:cs="Arial"/>
          <w:lang w:eastAsia="en-US"/>
        </w:rPr>
      </w:pPr>
    </w:p>
    <w:p w14:paraId="5CD48D99" w14:textId="6B89E664" w:rsidR="004250C6" w:rsidRPr="000C3845" w:rsidRDefault="004250C6" w:rsidP="002B16A3">
      <w:pPr>
        <w:pStyle w:val="paragraph"/>
        <w:spacing w:before="0" w:beforeAutospacing="0" w:after="0" w:afterAutospacing="0" w:line="276" w:lineRule="auto"/>
        <w:jc w:val="both"/>
        <w:textAlignment w:val="baseline"/>
        <w:rPr>
          <w:rFonts w:ascii="Arial" w:eastAsiaTheme="minorHAnsi" w:hAnsi="Arial" w:cs="Arial"/>
          <w:lang w:eastAsia="en-US"/>
        </w:rPr>
      </w:pPr>
      <w:r w:rsidRPr="000C3845">
        <w:rPr>
          <w:rFonts w:ascii="Arial" w:eastAsiaTheme="minorHAnsi" w:hAnsi="Arial" w:cs="Arial"/>
          <w:lang w:eastAsia="en-US"/>
        </w:rPr>
        <w:t>Autor 3 –Reyes Méndez </w:t>
      </w:r>
      <w:r w:rsidR="001F3CFA" w:rsidRPr="000C3845">
        <w:rPr>
          <w:rFonts w:ascii="Arial" w:eastAsiaTheme="minorHAnsi" w:hAnsi="Arial" w:cs="Arial"/>
          <w:lang w:eastAsia="en-US"/>
        </w:rPr>
        <w:t>Laura María</w:t>
      </w:r>
    </w:p>
    <w:p w14:paraId="614915EC" w14:textId="67BA72B5" w:rsidR="004250C6" w:rsidRPr="000C3845" w:rsidRDefault="004250C6" w:rsidP="002B16A3">
      <w:pPr>
        <w:pStyle w:val="paragraph"/>
        <w:spacing w:before="0" w:beforeAutospacing="0" w:after="0" w:afterAutospacing="0" w:line="276" w:lineRule="auto"/>
        <w:jc w:val="both"/>
        <w:textAlignment w:val="baseline"/>
        <w:rPr>
          <w:rFonts w:ascii="Arial" w:eastAsiaTheme="minorHAnsi" w:hAnsi="Arial" w:cs="Arial"/>
          <w:lang w:eastAsia="en-US"/>
        </w:rPr>
      </w:pPr>
      <w:r w:rsidRPr="000C3845">
        <w:rPr>
          <w:rFonts w:ascii="Arial" w:eastAsiaTheme="minorHAnsi" w:hAnsi="Arial" w:cs="Arial"/>
          <w:lang w:eastAsia="en-US"/>
        </w:rPr>
        <w:t>Laboratorio de Investigación y Desarrollo Agroalimentario – LIDA, Universidad Nacional Abierta y a Distancia – UNAD.  </w:t>
      </w:r>
    </w:p>
    <w:p w14:paraId="4BDAFBCA" w14:textId="77777777" w:rsidR="004250C6" w:rsidRPr="005678F9" w:rsidRDefault="004250C6" w:rsidP="002B16A3">
      <w:pPr>
        <w:pStyle w:val="paragraph"/>
        <w:spacing w:before="0" w:beforeAutospacing="0" w:after="0" w:afterAutospacing="0" w:line="276" w:lineRule="auto"/>
        <w:jc w:val="both"/>
        <w:textAlignment w:val="baseline"/>
        <w:rPr>
          <w:rFonts w:ascii="Arial" w:eastAsiaTheme="minorHAnsi" w:hAnsi="Arial" w:cs="Arial"/>
          <w:lang w:val="pt-BR" w:eastAsia="en-US"/>
        </w:rPr>
      </w:pPr>
      <w:r w:rsidRPr="005678F9">
        <w:rPr>
          <w:rFonts w:ascii="Arial" w:eastAsiaTheme="minorHAnsi" w:hAnsi="Arial" w:cs="Arial"/>
          <w:lang w:val="pt-BR" w:eastAsia="en-US"/>
        </w:rPr>
        <w:t>ORCID https://orcid.org/0000-0002-3782-8747 </w:t>
      </w:r>
    </w:p>
    <w:p w14:paraId="2AFA544B" w14:textId="77777777" w:rsidR="004250C6" w:rsidRPr="005678F9" w:rsidRDefault="004250C6" w:rsidP="002B16A3">
      <w:pPr>
        <w:pStyle w:val="paragraph"/>
        <w:spacing w:before="0" w:beforeAutospacing="0" w:after="0" w:afterAutospacing="0" w:line="276" w:lineRule="auto"/>
        <w:jc w:val="both"/>
        <w:textAlignment w:val="baseline"/>
        <w:rPr>
          <w:rFonts w:ascii="Arial" w:eastAsiaTheme="minorHAnsi" w:hAnsi="Arial" w:cs="Arial"/>
          <w:lang w:val="pt-BR" w:eastAsia="en-US"/>
        </w:rPr>
      </w:pPr>
      <w:r w:rsidRPr="005678F9">
        <w:rPr>
          <w:rFonts w:ascii="Arial" w:eastAsiaTheme="minorHAnsi" w:hAnsi="Arial" w:cs="Arial"/>
          <w:lang w:val="pt-BR" w:eastAsia="en-US"/>
        </w:rPr>
        <w:t>email. laura.reyes@unad.edu.co </w:t>
      </w:r>
    </w:p>
    <w:p w14:paraId="6DA89DFB" w14:textId="77777777" w:rsidR="0041265B" w:rsidRPr="005678F9" w:rsidRDefault="0041265B" w:rsidP="002B16A3">
      <w:pPr>
        <w:pStyle w:val="paragraph"/>
        <w:spacing w:before="0" w:beforeAutospacing="0" w:after="0" w:afterAutospacing="0" w:line="276" w:lineRule="auto"/>
        <w:jc w:val="both"/>
        <w:textAlignment w:val="baseline"/>
        <w:rPr>
          <w:rFonts w:ascii="Arial" w:eastAsiaTheme="minorHAnsi" w:hAnsi="Arial" w:cs="Arial"/>
          <w:lang w:val="pt-BR" w:eastAsia="en-US"/>
        </w:rPr>
      </w:pPr>
    </w:p>
    <w:p w14:paraId="4A49A53C" w14:textId="7077724E" w:rsidR="0041265B" w:rsidRPr="005678F9" w:rsidRDefault="0041265B" w:rsidP="002B16A3">
      <w:pPr>
        <w:spacing w:after="0" w:line="276" w:lineRule="auto"/>
        <w:jc w:val="both"/>
        <w:rPr>
          <w:rFonts w:ascii="Arial" w:hAnsi="Arial" w:cs="Arial"/>
          <w:sz w:val="24"/>
          <w:szCs w:val="24"/>
          <w:lang w:val="pt-BR"/>
        </w:rPr>
      </w:pPr>
      <w:r w:rsidRPr="005678F9">
        <w:rPr>
          <w:rFonts w:ascii="Arial" w:hAnsi="Arial" w:cs="Arial"/>
          <w:sz w:val="24"/>
          <w:szCs w:val="24"/>
          <w:lang w:val="pt-BR"/>
        </w:rPr>
        <w:t>Gómez-</w:t>
      </w:r>
      <w:r w:rsidR="001F3CFA" w:rsidRPr="005678F9">
        <w:rPr>
          <w:rFonts w:ascii="Arial" w:hAnsi="Arial" w:cs="Arial"/>
          <w:sz w:val="24"/>
          <w:szCs w:val="24"/>
          <w:lang w:val="pt-BR"/>
        </w:rPr>
        <w:t>Álvarez</w:t>
      </w:r>
      <w:r w:rsidRPr="005678F9">
        <w:rPr>
          <w:rFonts w:ascii="Arial" w:hAnsi="Arial" w:cs="Arial"/>
          <w:sz w:val="24"/>
          <w:szCs w:val="24"/>
          <w:lang w:val="pt-BR"/>
        </w:rPr>
        <w:t xml:space="preserve"> Luz Marina</w:t>
      </w:r>
    </w:p>
    <w:p w14:paraId="0654D2C1" w14:textId="77777777" w:rsidR="0041265B" w:rsidRDefault="0041265B" w:rsidP="002B16A3">
      <w:pPr>
        <w:spacing w:after="0" w:line="276" w:lineRule="auto"/>
        <w:jc w:val="both"/>
        <w:rPr>
          <w:rFonts w:ascii="Arial" w:hAnsi="Arial" w:cs="Arial"/>
          <w:sz w:val="24"/>
          <w:szCs w:val="24"/>
        </w:rPr>
      </w:pPr>
      <w:r w:rsidRPr="002E7D58">
        <w:rPr>
          <w:rFonts w:ascii="Arial" w:hAnsi="Arial" w:cs="Arial"/>
          <w:sz w:val="24"/>
          <w:szCs w:val="24"/>
        </w:rPr>
        <w:t>Corporación para Investigaciones Biológicas. G</w:t>
      </w:r>
      <w:r>
        <w:rPr>
          <w:rFonts w:ascii="Arial" w:hAnsi="Arial" w:cs="Arial"/>
          <w:sz w:val="24"/>
          <w:szCs w:val="24"/>
        </w:rPr>
        <w:t xml:space="preserve">rupo de Investigación Fitosanidad y Control Biológico. </w:t>
      </w:r>
    </w:p>
    <w:p w14:paraId="6E454317" w14:textId="77777777" w:rsidR="0041265B" w:rsidRPr="00CB28CD" w:rsidRDefault="0041265B" w:rsidP="002B16A3">
      <w:pPr>
        <w:spacing w:after="0" w:line="276" w:lineRule="auto"/>
        <w:jc w:val="both"/>
        <w:rPr>
          <w:rFonts w:ascii="Arial" w:hAnsi="Arial" w:cs="Arial"/>
          <w:sz w:val="24"/>
          <w:szCs w:val="24"/>
        </w:rPr>
      </w:pPr>
      <w:r w:rsidRPr="00CB28CD">
        <w:rPr>
          <w:rFonts w:ascii="Arial" w:hAnsi="Arial" w:cs="Arial"/>
          <w:sz w:val="24"/>
          <w:szCs w:val="24"/>
        </w:rPr>
        <w:t>ORCID: https://orcid.org/0009-0007-0554-2107</w:t>
      </w:r>
    </w:p>
    <w:p w14:paraId="722BCA28" w14:textId="77777777" w:rsidR="0041265B" w:rsidRPr="005678F9" w:rsidRDefault="0041265B" w:rsidP="002B16A3">
      <w:pPr>
        <w:spacing w:after="0" w:line="276" w:lineRule="auto"/>
        <w:jc w:val="both"/>
        <w:rPr>
          <w:rFonts w:ascii="Arial" w:hAnsi="Arial" w:cs="Arial"/>
          <w:sz w:val="24"/>
          <w:szCs w:val="24"/>
        </w:rPr>
      </w:pPr>
      <w:r w:rsidRPr="005678F9">
        <w:rPr>
          <w:rFonts w:ascii="Arial" w:hAnsi="Arial" w:cs="Arial"/>
          <w:sz w:val="24"/>
          <w:szCs w:val="24"/>
        </w:rPr>
        <w:t>Email: lgomez@cib.org.co</w:t>
      </w:r>
    </w:p>
    <w:p w14:paraId="22B03456" w14:textId="77777777" w:rsidR="004250C6" w:rsidRPr="006E5C8E" w:rsidRDefault="004250C6" w:rsidP="002B16A3">
      <w:pPr>
        <w:spacing w:after="0" w:line="276" w:lineRule="auto"/>
        <w:rPr>
          <w:rFonts w:ascii="Arial" w:hAnsi="Arial" w:cs="Arial"/>
          <w:sz w:val="24"/>
          <w:szCs w:val="24"/>
        </w:rPr>
      </w:pPr>
    </w:p>
    <w:p w14:paraId="06602379" w14:textId="77777777" w:rsidR="007A61C1" w:rsidRPr="006E5C8E" w:rsidRDefault="007A61C1" w:rsidP="002B16A3">
      <w:pPr>
        <w:spacing w:after="0" w:line="276" w:lineRule="auto"/>
        <w:rPr>
          <w:rFonts w:ascii="Arial" w:hAnsi="Arial" w:cs="Arial"/>
          <w:sz w:val="24"/>
          <w:szCs w:val="24"/>
        </w:rPr>
      </w:pPr>
    </w:p>
    <w:p w14:paraId="313D9906" w14:textId="77777777" w:rsidR="007A61C1" w:rsidRPr="006E5C8E" w:rsidRDefault="007A61C1" w:rsidP="002B16A3">
      <w:pPr>
        <w:spacing w:after="0" w:line="276" w:lineRule="auto"/>
        <w:rPr>
          <w:rFonts w:ascii="Arial" w:hAnsi="Arial" w:cs="Arial"/>
          <w:b/>
          <w:sz w:val="24"/>
          <w:szCs w:val="24"/>
        </w:rPr>
      </w:pPr>
      <w:r w:rsidRPr="006E5C8E">
        <w:rPr>
          <w:rFonts w:ascii="Arial" w:hAnsi="Arial" w:cs="Arial"/>
          <w:b/>
          <w:sz w:val="24"/>
          <w:szCs w:val="24"/>
        </w:rPr>
        <w:t>RESUMEN.</w:t>
      </w:r>
    </w:p>
    <w:p w14:paraId="37433B60" w14:textId="52487845" w:rsidR="004A0BCC" w:rsidRPr="006E5C8E" w:rsidRDefault="007F2AE7" w:rsidP="002B16A3">
      <w:pPr>
        <w:spacing w:after="0" w:line="276" w:lineRule="auto"/>
        <w:jc w:val="both"/>
        <w:rPr>
          <w:rFonts w:ascii="Arial" w:hAnsi="Arial" w:cs="Arial"/>
          <w:sz w:val="24"/>
          <w:szCs w:val="24"/>
        </w:rPr>
      </w:pPr>
      <w:r w:rsidRPr="006E5C8E">
        <w:rPr>
          <w:rFonts w:ascii="Arial" w:hAnsi="Arial" w:cs="Arial"/>
          <w:sz w:val="24"/>
          <w:szCs w:val="24"/>
        </w:rPr>
        <w:t xml:space="preserve">La contaminación por bacterias fitopatógenas ha sido un problema persistente tanto en Colombia como a nivel mundial, afectando la producción alimentaria y, por ende, la competitividad, la seguridad y la soberanía alimentaria. Las infecciones causadas por fitopatógenos son responsables de entre el 20% y el 40% de las pérdidas globales en la producción agrícola debido a enfermedades en plantas. Este trabajo tuvo como objetivo evaluar la actividad antibacteriana del aceite esencial de citronela (AEC) y su efecto sinérgico con péptidos antimicrobianos. El AEC se extrajo mediante destilación por arrastre de vapor de agua y se evaluó su actividad </w:t>
      </w:r>
      <w:r w:rsidRPr="006E5C8E">
        <w:rPr>
          <w:rFonts w:ascii="Arial" w:hAnsi="Arial" w:cs="Arial"/>
          <w:sz w:val="24"/>
          <w:szCs w:val="24"/>
        </w:rPr>
        <w:lastRenderedPageBreak/>
        <w:t xml:space="preserve">antimicrobiana frente a </w:t>
      </w:r>
      <w:r w:rsidRPr="006E5C8E">
        <w:rPr>
          <w:rFonts w:ascii="Arial" w:hAnsi="Arial" w:cs="Arial"/>
          <w:i/>
          <w:sz w:val="24"/>
          <w:szCs w:val="24"/>
        </w:rPr>
        <w:t>Pectobacterium</w:t>
      </w:r>
      <w:r w:rsidR="00D35C4D" w:rsidRPr="006E5C8E">
        <w:rPr>
          <w:rFonts w:ascii="Arial" w:hAnsi="Arial" w:cs="Arial"/>
          <w:i/>
          <w:sz w:val="24"/>
          <w:szCs w:val="24"/>
        </w:rPr>
        <w:t xml:space="preserve"> sp.</w:t>
      </w:r>
      <w:r w:rsidRPr="006E5C8E">
        <w:rPr>
          <w:rFonts w:ascii="Arial" w:hAnsi="Arial" w:cs="Arial"/>
          <w:i/>
          <w:sz w:val="24"/>
          <w:szCs w:val="24"/>
        </w:rPr>
        <w:t xml:space="preserve"> y Xanthomonas campestris</w:t>
      </w:r>
      <w:r w:rsidRPr="006E5C8E">
        <w:rPr>
          <w:rFonts w:ascii="Arial" w:hAnsi="Arial" w:cs="Arial"/>
          <w:sz w:val="24"/>
          <w:szCs w:val="24"/>
        </w:rPr>
        <w:t xml:space="preserve"> uti</w:t>
      </w:r>
      <w:r w:rsidRPr="006E5C8E">
        <w:rPr>
          <w:rFonts w:ascii="Arial" w:hAnsi="Arial" w:cs="Arial"/>
          <w:color w:val="000000" w:themeColor="text1"/>
          <w:sz w:val="24"/>
          <w:szCs w:val="24"/>
        </w:rPr>
        <w:t>lizan</w:t>
      </w:r>
      <w:r w:rsidRPr="006E5C8E">
        <w:rPr>
          <w:rFonts w:ascii="Arial" w:hAnsi="Arial" w:cs="Arial"/>
          <w:sz w:val="24"/>
          <w:szCs w:val="24"/>
        </w:rPr>
        <w:t>do la prueba de microdilución en caldo. Se analizaron distintas concentraciones del AEC tanto de manera aislada como en combinación con una biopelícula formulada por el equipo de investigación. Además, se probó el potencial antibacteriano del AEC mezclado con venenos de tres especies de serpientes (</w:t>
      </w:r>
      <w:r w:rsidRPr="006E5C8E">
        <w:rPr>
          <w:rFonts w:ascii="Arial" w:hAnsi="Arial" w:cs="Arial"/>
          <w:i/>
          <w:sz w:val="24"/>
          <w:szCs w:val="24"/>
        </w:rPr>
        <w:t xml:space="preserve">Micrurus mipartitus, Micrurus dumerilii y Bothrops asper), </w:t>
      </w:r>
      <w:r w:rsidRPr="006E5C8E">
        <w:rPr>
          <w:rFonts w:ascii="Arial" w:hAnsi="Arial" w:cs="Arial"/>
          <w:sz w:val="24"/>
          <w:szCs w:val="24"/>
        </w:rPr>
        <w:t xml:space="preserve">previamente identificados como fuentes de compuestos antibacterianos. Los resultados mostraron que el AEC tiene una alta actividad inhibidora frente a ambas bacterias, con un mayor efecto contra </w:t>
      </w:r>
      <w:r w:rsidRPr="006E5C8E">
        <w:rPr>
          <w:rFonts w:ascii="Arial" w:hAnsi="Arial" w:cs="Arial"/>
          <w:i/>
          <w:iCs/>
          <w:sz w:val="24"/>
          <w:szCs w:val="24"/>
        </w:rPr>
        <w:t>X. campestris</w:t>
      </w:r>
      <w:r w:rsidRPr="006E5C8E">
        <w:rPr>
          <w:rFonts w:ascii="Arial" w:hAnsi="Arial" w:cs="Arial"/>
          <w:sz w:val="24"/>
          <w:szCs w:val="24"/>
        </w:rPr>
        <w:t>, obteniendo un IC</w:t>
      </w:r>
      <w:r w:rsidRPr="006E5C8E">
        <w:rPr>
          <w:rFonts w:ascii="Arial" w:hAnsi="Arial" w:cs="Arial"/>
          <w:sz w:val="24"/>
          <w:szCs w:val="24"/>
          <w:vertAlign w:val="subscript"/>
        </w:rPr>
        <w:t>50</w:t>
      </w:r>
      <w:r w:rsidRPr="006E5C8E">
        <w:rPr>
          <w:rFonts w:ascii="Arial" w:hAnsi="Arial" w:cs="Arial"/>
          <w:sz w:val="24"/>
          <w:szCs w:val="24"/>
        </w:rPr>
        <w:t xml:space="preserve"> promedio de </w:t>
      </w:r>
      <w:r w:rsidR="0032766D" w:rsidRPr="006E5C8E">
        <w:rPr>
          <w:rFonts w:ascii="Arial" w:hAnsi="Arial" w:cs="Arial"/>
          <w:sz w:val="24"/>
          <w:szCs w:val="24"/>
        </w:rPr>
        <w:t>1.08 mg/mL</w:t>
      </w:r>
      <w:r w:rsidRPr="006E5C8E">
        <w:rPr>
          <w:rFonts w:ascii="Arial" w:hAnsi="Arial" w:cs="Arial"/>
          <w:sz w:val="24"/>
          <w:szCs w:val="24"/>
        </w:rPr>
        <w:t xml:space="preserve">. Al combinar el AEC con los venenos de serpiente, la actividad antibacteriana se potenció </w:t>
      </w:r>
      <w:r w:rsidR="0032766D" w:rsidRPr="006E5C8E">
        <w:rPr>
          <w:rFonts w:ascii="Arial" w:hAnsi="Arial" w:cs="Arial"/>
          <w:sz w:val="24"/>
          <w:szCs w:val="24"/>
        </w:rPr>
        <w:t>alcanzando una inhibición cercana al 100% frente a ambas bacterias</w:t>
      </w:r>
      <w:r w:rsidRPr="006E5C8E">
        <w:rPr>
          <w:rFonts w:ascii="Arial" w:hAnsi="Arial" w:cs="Arial"/>
          <w:sz w:val="24"/>
          <w:szCs w:val="24"/>
        </w:rPr>
        <w:t>. Estos hallazgos sugieren que el AEC podría ser una alternativa prometedora para el desarrollo de tratamientos antibacterianos en cultivos.</w:t>
      </w:r>
    </w:p>
    <w:p w14:paraId="7FA953D4" w14:textId="77777777" w:rsidR="007A61C1" w:rsidRPr="006E5C8E" w:rsidRDefault="007A61C1" w:rsidP="002B16A3">
      <w:pPr>
        <w:spacing w:after="0" w:line="276" w:lineRule="auto"/>
        <w:rPr>
          <w:rFonts w:ascii="Arial" w:hAnsi="Arial" w:cs="Arial"/>
          <w:b/>
          <w:sz w:val="24"/>
          <w:szCs w:val="24"/>
        </w:rPr>
      </w:pPr>
      <w:r w:rsidRPr="006E5C8E">
        <w:rPr>
          <w:rFonts w:ascii="Arial" w:hAnsi="Arial" w:cs="Arial"/>
          <w:b/>
          <w:sz w:val="24"/>
          <w:szCs w:val="24"/>
        </w:rPr>
        <w:t>Palabras Clave.</w:t>
      </w:r>
    </w:p>
    <w:p w14:paraId="4C2C252B" w14:textId="1265FA4C" w:rsidR="007F2AE7" w:rsidRDefault="007741EE" w:rsidP="002B16A3">
      <w:pPr>
        <w:spacing w:after="0" w:line="276" w:lineRule="auto"/>
        <w:rPr>
          <w:rFonts w:ascii="Arial" w:hAnsi="Arial" w:cs="Arial"/>
          <w:sz w:val="24"/>
          <w:szCs w:val="24"/>
        </w:rPr>
      </w:pPr>
      <w:r>
        <w:rPr>
          <w:rFonts w:ascii="Arial" w:hAnsi="Arial" w:cs="Arial"/>
          <w:sz w:val="24"/>
          <w:szCs w:val="24"/>
        </w:rPr>
        <w:t>B</w:t>
      </w:r>
      <w:r w:rsidRPr="00C54ECF">
        <w:rPr>
          <w:rFonts w:ascii="Arial" w:hAnsi="Arial" w:cs="Arial"/>
          <w:sz w:val="24"/>
          <w:szCs w:val="24"/>
        </w:rPr>
        <w:t>iopelícula;</w:t>
      </w:r>
      <w:r>
        <w:rPr>
          <w:rFonts w:ascii="Arial" w:hAnsi="Arial" w:cs="Arial"/>
          <w:sz w:val="24"/>
          <w:szCs w:val="24"/>
        </w:rPr>
        <w:t xml:space="preserve"> bioprospección; compuestos antimicrobianos; fitoquímicos.</w:t>
      </w:r>
    </w:p>
    <w:p w14:paraId="3C81498B" w14:textId="77777777" w:rsidR="007741EE" w:rsidRPr="006E5C8E" w:rsidRDefault="007741EE" w:rsidP="002B16A3">
      <w:pPr>
        <w:spacing w:after="0" w:line="276" w:lineRule="auto"/>
        <w:rPr>
          <w:rFonts w:ascii="Arial" w:hAnsi="Arial" w:cs="Arial"/>
          <w:sz w:val="24"/>
          <w:szCs w:val="24"/>
        </w:rPr>
      </w:pPr>
    </w:p>
    <w:p w14:paraId="2C3BE8E8" w14:textId="77777777" w:rsidR="007A61C1" w:rsidRPr="006E5C8E" w:rsidRDefault="007A61C1" w:rsidP="002B16A3">
      <w:pPr>
        <w:spacing w:after="0" w:line="276" w:lineRule="auto"/>
        <w:rPr>
          <w:rFonts w:ascii="Arial" w:hAnsi="Arial" w:cs="Arial"/>
          <w:b/>
          <w:sz w:val="24"/>
          <w:szCs w:val="24"/>
          <w:lang w:val="en-US"/>
        </w:rPr>
      </w:pPr>
      <w:r w:rsidRPr="006E5C8E">
        <w:rPr>
          <w:rFonts w:ascii="Arial" w:hAnsi="Arial" w:cs="Arial"/>
          <w:b/>
          <w:sz w:val="24"/>
          <w:szCs w:val="24"/>
          <w:lang w:val="en-US"/>
        </w:rPr>
        <w:t>ABSTRACT.</w:t>
      </w:r>
    </w:p>
    <w:p w14:paraId="1817DC79" w14:textId="1953CC7A" w:rsidR="00800C23" w:rsidRPr="006E5C8E" w:rsidRDefault="001F3CFA" w:rsidP="002B16A3">
      <w:pPr>
        <w:spacing w:after="0" w:line="276" w:lineRule="auto"/>
        <w:jc w:val="both"/>
        <w:rPr>
          <w:rFonts w:ascii="Arial" w:eastAsia="Times New Roman" w:hAnsi="Arial" w:cs="Arial"/>
          <w:color w:val="212121"/>
          <w:sz w:val="24"/>
          <w:szCs w:val="24"/>
          <w:lang w:val="en" w:eastAsia="es-CO"/>
        </w:rPr>
      </w:pPr>
      <w:r w:rsidRPr="001F3CFA">
        <w:rPr>
          <w:rFonts w:ascii="Arial" w:eastAsia="Times New Roman" w:hAnsi="Arial" w:cs="Arial"/>
          <w:color w:val="212121"/>
          <w:sz w:val="24"/>
          <w:szCs w:val="24"/>
          <w:lang w:val="en" w:eastAsia="es-CO"/>
        </w:rPr>
        <w:t>Phytopathogenic bacterial contamination has been a persistent problem in Colombia and worldwide, affecting food production and, consequently, competitiveness, food security, and food sovereignty. Infections caused by phytopathogens account for between 20% and 40% of global agricultural production losses due to plant diseases. This study aimed to evaluate the antibacterial activity of citronella essential oil (</w:t>
      </w:r>
      <w:r>
        <w:rPr>
          <w:rFonts w:ascii="Arial" w:eastAsia="Times New Roman" w:hAnsi="Arial" w:cs="Arial"/>
          <w:color w:val="212121"/>
          <w:sz w:val="24"/>
          <w:szCs w:val="24"/>
          <w:lang w:val="en" w:eastAsia="es-CO"/>
        </w:rPr>
        <w:t>AEC</w:t>
      </w:r>
      <w:r w:rsidRPr="001F3CFA">
        <w:rPr>
          <w:rFonts w:ascii="Arial" w:eastAsia="Times New Roman" w:hAnsi="Arial" w:cs="Arial"/>
          <w:color w:val="212121"/>
          <w:sz w:val="24"/>
          <w:szCs w:val="24"/>
          <w:lang w:val="en" w:eastAsia="es-CO"/>
        </w:rPr>
        <w:t xml:space="preserve">) and its synergistic effect with antimicrobial peptides. </w:t>
      </w:r>
      <w:r>
        <w:rPr>
          <w:rFonts w:ascii="Arial" w:eastAsia="Times New Roman" w:hAnsi="Arial" w:cs="Arial"/>
          <w:color w:val="212121"/>
          <w:sz w:val="24"/>
          <w:szCs w:val="24"/>
          <w:lang w:val="en" w:eastAsia="es-CO"/>
        </w:rPr>
        <w:t>AEC</w:t>
      </w:r>
      <w:r w:rsidRPr="001F3CFA">
        <w:rPr>
          <w:rFonts w:ascii="Arial" w:eastAsia="Times New Roman" w:hAnsi="Arial" w:cs="Arial"/>
          <w:color w:val="212121"/>
          <w:sz w:val="24"/>
          <w:szCs w:val="24"/>
          <w:lang w:val="en" w:eastAsia="es-CO"/>
        </w:rPr>
        <w:t xml:space="preserve"> was extracted by steam distillation and its antimicrobial activity was assessed against </w:t>
      </w:r>
      <w:r w:rsidRPr="009335E1">
        <w:rPr>
          <w:rFonts w:ascii="Arial" w:eastAsia="Times New Roman" w:hAnsi="Arial" w:cs="Arial"/>
          <w:i/>
          <w:iCs/>
          <w:color w:val="212121"/>
          <w:sz w:val="24"/>
          <w:szCs w:val="24"/>
          <w:lang w:val="en" w:eastAsia="es-CO"/>
        </w:rPr>
        <w:t>Pectobacterium sp. and Xanthomonas campestris</w:t>
      </w:r>
      <w:r w:rsidRPr="001F3CFA">
        <w:rPr>
          <w:rFonts w:ascii="Arial" w:eastAsia="Times New Roman" w:hAnsi="Arial" w:cs="Arial"/>
          <w:color w:val="212121"/>
          <w:sz w:val="24"/>
          <w:szCs w:val="24"/>
          <w:lang w:val="en" w:eastAsia="es-CO"/>
        </w:rPr>
        <w:t xml:space="preserve"> using the broth microdilution assay. Different concentrations of </w:t>
      </w:r>
      <w:r>
        <w:rPr>
          <w:rFonts w:ascii="Arial" w:eastAsia="Times New Roman" w:hAnsi="Arial" w:cs="Arial"/>
          <w:color w:val="212121"/>
          <w:sz w:val="24"/>
          <w:szCs w:val="24"/>
          <w:lang w:val="en" w:eastAsia="es-CO"/>
        </w:rPr>
        <w:t>AEC</w:t>
      </w:r>
      <w:r w:rsidRPr="001F3CFA">
        <w:rPr>
          <w:rFonts w:ascii="Arial" w:eastAsia="Times New Roman" w:hAnsi="Arial" w:cs="Arial"/>
          <w:color w:val="212121"/>
          <w:sz w:val="24"/>
          <w:szCs w:val="24"/>
          <w:lang w:val="en" w:eastAsia="es-CO"/>
        </w:rPr>
        <w:t xml:space="preserve"> were analyzed both alone and in combination with a biofilm formulated by the research team. In addition, the antibacterial potential of </w:t>
      </w:r>
      <w:r>
        <w:rPr>
          <w:rFonts w:ascii="Arial" w:eastAsia="Times New Roman" w:hAnsi="Arial" w:cs="Arial"/>
          <w:color w:val="212121"/>
          <w:sz w:val="24"/>
          <w:szCs w:val="24"/>
          <w:lang w:val="en" w:eastAsia="es-CO"/>
        </w:rPr>
        <w:t>AEC</w:t>
      </w:r>
      <w:r w:rsidRPr="001F3CFA">
        <w:rPr>
          <w:rFonts w:ascii="Arial" w:eastAsia="Times New Roman" w:hAnsi="Arial" w:cs="Arial"/>
          <w:color w:val="212121"/>
          <w:sz w:val="24"/>
          <w:szCs w:val="24"/>
          <w:lang w:val="en" w:eastAsia="es-CO"/>
        </w:rPr>
        <w:t xml:space="preserve"> mixed with venoms from three snake species (</w:t>
      </w:r>
      <w:r w:rsidRPr="009335E1">
        <w:rPr>
          <w:rFonts w:ascii="Arial" w:eastAsia="Times New Roman" w:hAnsi="Arial" w:cs="Arial"/>
          <w:i/>
          <w:iCs/>
          <w:color w:val="212121"/>
          <w:sz w:val="24"/>
          <w:szCs w:val="24"/>
          <w:lang w:val="en" w:eastAsia="es-CO"/>
        </w:rPr>
        <w:t>Micrurus mipartitus, Micrurus dumerilii, and Bothrops asper</w:t>
      </w:r>
      <w:r w:rsidRPr="001F3CFA">
        <w:rPr>
          <w:rFonts w:ascii="Arial" w:eastAsia="Times New Roman" w:hAnsi="Arial" w:cs="Arial"/>
          <w:color w:val="212121"/>
          <w:sz w:val="24"/>
          <w:szCs w:val="24"/>
          <w:lang w:val="en" w:eastAsia="es-CO"/>
        </w:rPr>
        <w:t xml:space="preserve">), previously identified as sources of antibacterial compounds, was tested. The results showed that </w:t>
      </w:r>
      <w:r>
        <w:rPr>
          <w:rFonts w:ascii="Arial" w:eastAsia="Times New Roman" w:hAnsi="Arial" w:cs="Arial"/>
          <w:color w:val="212121"/>
          <w:sz w:val="24"/>
          <w:szCs w:val="24"/>
          <w:lang w:val="en" w:eastAsia="es-CO"/>
        </w:rPr>
        <w:t>AEC</w:t>
      </w:r>
      <w:r w:rsidRPr="001F3CFA">
        <w:rPr>
          <w:rFonts w:ascii="Arial" w:eastAsia="Times New Roman" w:hAnsi="Arial" w:cs="Arial"/>
          <w:color w:val="212121"/>
          <w:sz w:val="24"/>
          <w:szCs w:val="24"/>
          <w:lang w:val="en" w:eastAsia="es-CO"/>
        </w:rPr>
        <w:t xml:space="preserve"> has potent inhibitory activity against both bacteria, with a greater effect against </w:t>
      </w:r>
      <w:r w:rsidRPr="009335E1">
        <w:rPr>
          <w:rFonts w:ascii="Arial" w:eastAsia="Times New Roman" w:hAnsi="Arial" w:cs="Arial"/>
          <w:i/>
          <w:iCs/>
          <w:color w:val="212121"/>
          <w:sz w:val="24"/>
          <w:szCs w:val="24"/>
          <w:lang w:val="en" w:eastAsia="es-CO"/>
        </w:rPr>
        <w:t>X. campestris</w:t>
      </w:r>
      <w:r w:rsidRPr="001F3CFA">
        <w:rPr>
          <w:rFonts w:ascii="Arial" w:eastAsia="Times New Roman" w:hAnsi="Arial" w:cs="Arial"/>
          <w:color w:val="212121"/>
          <w:sz w:val="24"/>
          <w:szCs w:val="24"/>
          <w:lang w:val="en" w:eastAsia="es-CO"/>
        </w:rPr>
        <w:t xml:space="preserve">, yielding an average IC50 of 1.08 mg/mL. When </w:t>
      </w:r>
      <w:r>
        <w:rPr>
          <w:rFonts w:ascii="Arial" w:eastAsia="Times New Roman" w:hAnsi="Arial" w:cs="Arial"/>
          <w:color w:val="212121"/>
          <w:sz w:val="24"/>
          <w:szCs w:val="24"/>
          <w:lang w:val="en" w:eastAsia="es-CO"/>
        </w:rPr>
        <w:t>AEC</w:t>
      </w:r>
      <w:r w:rsidRPr="001F3CFA">
        <w:rPr>
          <w:rFonts w:ascii="Arial" w:eastAsia="Times New Roman" w:hAnsi="Arial" w:cs="Arial"/>
          <w:color w:val="212121"/>
          <w:sz w:val="24"/>
          <w:szCs w:val="24"/>
          <w:lang w:val="en" w:eastAsia="es-CO"/>
        </w:rPr>
        <w:t xml:space="preserve"> was combined with snake venoms, the antibacterial activity was enhanced, reaching nearly 100% inhibition against both bacteria. These findings suggest that </w:t>
      </w:r>
      <w:r>
        <w:rPr>
          <w:rFonts w:ascii="Arial" w:eastAsia="Times New Roman" w:hAnsi="Arial" w:cs="Arial"/>
          <w:color w:val="212121"/>
          <w:sz w:val="24"/>
          <w:szCs w:val="24"/>
          <w:lang w:val="en" w:eastAsia="es-CO"/>
        </w:rPr>
        <w:t>AEC</w:t>
      </w:r>
      <w:r w:rsidRPr="001F3CFA">
        <w:rPr>
          <w:rFonts w:ascii="Arial" w:eastAsia="Times New Roman" w:hAnsi="Arial" w:cs="Arial"/>
          <w:color w:val="212121"/>
          <w:sz w:val="24"/>
          <w:szCs w:val="24"/>
          <w:lang w:val="en" w:eastAsia="es-CO"/>
        </w:rPr>
        <w:t xml:space="preserve"> could be a promising alternative for the development of antibacterial treatments in crops.</w:t>
      </w:r>
    </w:p>
    <w:p w14:paraId="6671D61C" w14:textId="77777777" w:rsidR="007A61C1" w:rsidRPr="006E5C8E" w:rsidRDefault="00800C23" w:rsidP="002B16A3">
      <w:pPr>
        <w:spacing w:after="0" w:line="276" w:lineRule="auto"/>
        <w:rPr>
          <w:rFonts w:ascii="Arial" w:hAnsi="Arial" w:cs="Arial"/>
          <w:b/>
          <w:sz w:val="24"/>
          <w:szCs w:val="24"/>
          <w:lang w:val="en-US"/>
        </w:rPr>
      </w:pPr>
      <w:r w:rsidRPr="006E5C8E">
        <w:rPr>
          <w:rFonts w:ascii="Arial" w:hAnsi="Arial" w:cs="Arial"/>
          <w:b/>
          <w:sz w:val="24"/>
          <w:szCs w:val="24"/>
          <w:lang w:val="en-US"/>
        </w:rPr>
        <w:t>Keywords.</w:t>
      </w:r>
    </w:p>
    <w:p w14:paraId="21AF89DA" w14:textId="3A174FF1" w:rsidR="00800C23" w:rsidRPr="006E5C8E" w:rsidRDefault="007F2AE7" w:rsidP="002B16A3">
      <w:pPr>
        <w:spacing w:after="0" w:line="276" w:lineRule="auto"/>
        <w:rPr>
          <w:rFonts w:ascii="Arial" w:hAnsi="Arial" w:cs="Arial"/>
          <w:b/>
          <w:sz w:val="24"/>
          <w:szCs w:val="24"/>
          <w:lang w:val="en-US"/>
        </w:rPr>
      </w:pPr>
      <w:r w:rsidRPr="006E5C8E">
        <w:rPr>
          <w:rFonts w:ascii="Arial" w:eastAsia="Times New Roman" w:hAnsi="Arial" w:cs="Arial"/>
          <w:color w:val="212121"/>
          <w:sz w:val="24"/>
          <w:szCs w:val="24"/>
          <w:lang w:val="en" w:eastAsia="es-CO"/>
        </w:rPr>
        <w:t>Antibacterial activity; biofilm; citronella; phytopathogens.</w:t>
      </w:r>
    </w:p>
    <w:p w14:paraId="003B9204" w14:textId="77777777" w:rsidR="007F2AE7" w:rsidRPr="006E5C8E" w:rsidRDefault="007F2AE7" w:rsidP="002B16A3">
      <w:pPr>
        <w:spacing w:after="0" w:line="276" w:lineRule="auto"/>
        <w:rPr>
          <w:rFonts w:ascii="Arial" w:hAnsi="Arial" w:cs="Arial"/>
          <w:b/>
          <w:sz w:val="24"/>
          <w:szCs w:val="24"/>
          <w:lang w:val="en-US"/>
        </w:rPr>
      </w:pPr>
    </w:p>
    <w:p w14:paraId="664832BB" w14:textId="2B6296AF" w:rsidR="00E71CFF" w:rsidRPr="006E5C8E" w:rsidRDefault="00E71CFF" w:rsidP="002B16A3">
      <w:pPr>
        <w:spacing w:after="0" w:line="276" w:lineRule="auto"/>
        <w:rPr>
          <w:rFonts w:ascii="Arial" w:hAnsi="Arial" w:cs="Arial"/>
          <w:b/>
          <w:sz w:val="24"/>
          <w:szCs w:val="24"/>
        </w:rPr>
      </w:pPr>
      <w:r w:rsidRPr="006E5C8E">
        <w:rPr>
          <w:rFonts w:ascii="Arial" w:hAnsi="Arial" w:cs="Arial"/>
          <w:b/>
          <w:sz w:val="24"/>
          <w:szCs w:val="24"/>
        </w:rPr>
        <w:t xml:space="preserve">INTRODUCCIÓN. </w:t>
      </w:r>
    </w:p>
    <w:p w14:paraId="4AC3A715" w14:textId="601386C4" w:rsidR="00426F86" w:rsidRPr="006E5C8E" w:rsidRDefault="007F2AE7" w:rsidP="002B16A3">
      <w:pPr>
        <w:spacing w:after="0" w:line="276" w:lineRule="auto"/>
        <w:jc w:val="both"/>
        <w:rPr>
          <w:rFonts w:ascii="Arial" w:hAnsi="Arial" w:cs="Arial"/>
          <w:sz w:val="24"/>
          <w:szCs w:val="24"/>
        </w:rPr>
      </w:pPr>
      <w:r w:rsidRPr="006E5C8E">
        <w:rPr>
          <w:rFonts w:ascii="Arial" w:hAnsi="Arial" w:cs="Arial"/>
          <w:sz w:val="24"/>
          <w:szCs w:val="24"/>
        </w:rPr>
        <w:t xml:space="preserve">Las infecciones asociadas a fitopatógenos son responsables del 20 al 40% del total de pérdidas en producción ocasionadas por enfermedades en plantas, las cuales </w:t>
      </w:r>
      <w:r w:rsidRPr="006E5C8E">
        <w:rPr>
          <w:rFonts w:ascii="Arial" w:hAnsi="Arial" w:cs="Arial"/>
          <w:sz w:val="24"/>
          <w:szCs w:val="24"/>
        </w:rPr>
        <w:lastRenderedPageBreak/>
        <w:t xml:space="preserve">generan pérdidas económicas cercanas a los 40 billones de dólares al año a nivel mundial (Savary et al., 2012). Este tipo de contaminación se da naturalmente en los cultivos, principalmente cuando se tienen cambios de temperatura extremos o aumento de humedad por invierno, o por malas prácticas en el cuidado de los cultivos. El uso de compuestos de base biológica como extractos de plantas puede ser una alternativa a los </w:t>
      </w:r>
      <w:r w:rsidR="00324F55">
        <w:rPr>
          <w:rFonts w:ascii="Arial" w:hAnsi="Arial" w:cs="Arial"/>
          <w:sz w:val="24"/>
          <w:szCs w:val="24"/>
        </w:rPr>
        <w:t xml:space="preserve">antimicrobianos </w:t>
      </w:r>
      <w:r w:rsidRPr="006E5C8E">
        <w:rPr>
          <w:rFonts w:ascii="Arial" w:hAnsi="Arial" w:cs="Arial"/>
          <w:sz w:val="24"/>
          <w:szCs w:val="24"/>
        </w:rPr>
        <w:t xml:space="preserve">utilizados actualmente para controlar los hongos y bacterias fitopatógenas, ya que constituyen una fuente rica de </w:t>
      </w:r>
      <w:r w:rsidR="00324F55">
        <w:rPr>
          <w:rFonts w:ascii="Arial" w:hAnsi="Arial" w:cs="Arial"/>
          <w:sz w:val="24"/>
          <w:szCs w:val="24"/>
        </w:rPr>
        <w:t>compuestos</w:t>
      </w:r>
      <w:r w:rsidR="00324F55" w:rsidRPr="006E5C8E">
        <w:rPr>
          <w:rFonts w:ascii="Arial" w:hAnsi="Arial" w:cs="Arial"/>
          <w:sz w:val="24"/>
          <w:szCs w:val="24"/>
        </w:rPr>
        <w:t xml:space="preserve"> </w:t>
      </w:r>
      <w:r w:rsidRPr="006E5C8E">
        <w:rPr>
          <w:rFonts w:ascii="Arial" w:hAnsi="Arial" w:cs="Arial"/>
          <w:sz w:val="24"/>
          <w:szCs w:val="24"/>
        </w:rPr>
        <w:t xml:space="preserve">bioactivos como fenoles, flavonoides, quinonas, taninos, alcaloides, saponinas, entre otros (Cruz-Trujillo et al., 2021). Particularmente la citronela ha sido estudiada en la última década, por sus propiedades antifúngicas y antibacterianas, destacando su eficacia contra una variedad de patógenos como </w:t>
      </w:r>
      <w:r w:rsidRPr="00D366FC">
        <w:rPr>
          <w:rFonts w:ascii="Arial" w:hAnsi="Arial" w:cs="Arial"/>
          <w:i/>
          <w:iCs/>
          <w:sz w:val="24"/>
          <w:szCs w:val="24"/>
        </w:rPr>
        <w:t>Fusarium oxysporum, Colletotrichum gloeosporioides y Magnaporthe oryzae</w:t>
      </w:r>
      <w:r w:rsidRPr="006E5C8E">
        <w:rPr>
          <w:rFonts w:ascii="Arial" w:hAnsi="Arial" w:cs="Arial"/>
          <w:sz w:val="24"/>
          <w:szCs w:val="24"/>
        </w:rPr>
        <w:t xml:space="preserve"> (Mao &amp; Fm, 2019; Zhou et al., 2022). Por otro lado, </w:t>
      </w:r>
      <w:r w:rsidR="00324F55">
        <w:rPr>
          <w:rFonts w:ascii="Arial" w:hAnsi="Arial" w:cs="Arial"/>
          <w:sz w:val="24"/>
          <w:szCs w:val="24"/>
        </w:rPr>
        <w:t>los venenos de serpientes han de</w:t>
      </w:r>
      <w:r w:rsidRPr="006E5C8E">
        <w:rPr>
          <w:rFonts w:ascii="Arial" w:hAnsi="Arial" w:cs="Arial"/>
          <w:sz w:val="24"/>
          <w:szCs w:val="24"/>
        </w:rPr>
        <w:t xml:space="preserve">mostrado un potencial </w:t>
      </w:r>
      <w:r w:rsidR="00426F86">
        <w:rPr>
          <w:rFonts w:ascii="Arial" w:hAnsi="Arial" w:cs="Arial"/>
          <w:sz w:val="24"/>
          <w:szCs w:val="24"/>
        </w:rPr>
        <w:t>para el hallazgo de componentes antimicrobianos</w:t>
      </w:r>
      <w:r w:rsidRPr="006E5C8E">
        <w:rPr>
          <w:rFonts w:ascii="Arial" w:hAnsi="Arial" w:cs="Arial"/>
          <w:sz w:val="24"/>
          <w:szCs w:val="24"/>
        </w:rPr>
        <w:t>,</w:t>
      </w:r>
      <w:r w:rsidR="00426F86">
        <w:rPr>
          <w:rFonts w:ascii="Arial" w:hAnsi="Arial" w:cs="Arial"/>
          <w:sz w:val="24"/>
          <w:szCs w:val="24"/>
        </w:rPr>
        <w:t xml:space="preserve"> recientemente se describió la actividad antibacteriana del veneno de víboras colombianas sobre fitopatógenos como </w:t>
      </w:r>
      <w:r w:rsidR="00426F86" w:rsidRPr="00E83FC1">
        <w:rPr>
          <w:rFonts w:ascii="Arial" w:hAnsi="Arial" w:cs="Arial"/>
          <w:i/>
          <w:iCs/>
          <w:sz w:val="24"/>
          <w:szCs w:val="24"/>
        </w:rPr>
        <w:t>Xanthomonas</w:t>
      </w:r>
      <w:r w:rsidR="00426F86">
        <w:rPr>
          <w:rFonts w:ascii="Arial" w:hAnsi="Arial" w:cs="Arial"/>
          <w:sz w:val="24"/>
          <w:szCs w:val="24"/>
        </w:rPr>
        <w:t xml:space="preserve"> del cultivo de frutas de exportación </w:t>
      </w:r>
      <w:r w:rsidR="00426F86" w:rsidRPr="006E5C8E">
        <w:rPr>
          <w:rFonts w:ascii="Arial" w:hAnsi="Arial" w:cs="Arial"/>
          <w:sz w:val="24"/>
          <w:szCs w:val="24"/>
        </w:rPr>
        <w:t>(Núñez-Rangel et al., 2023).</w:t>
      </w:r>
      <w:r w:rsidR="00426F86">
        <w:rPr>
          <w:rFonts w:ascii="Arial" w:hAnsi="Arial" w:cs="Arial"/>
          <w:sz w:val="24"/>
          <w:szCs w:val="24"/>
        </w:rPr>
        <w:t xml:space="preserve"> Con el propósito de determinar si la combinación de dos productos naturales mejora su efecto antimicrobiano, el presente</w:t>
      </w:r>
      <w:r w:rsidRPr="006E5C8E">
        <w:rPr>
          <w:rFonts w:ascii="Arial" w:hAnsi="Arial" w:cs="Arial"/>
          <w:sz w:val="24"/>
          <w:szCs w:val="24"/>
        </w:rPr>
        <w:t xml:space="preserve"> trabajo evalúo el potencial del </w:t>
      </w:r>
      <w:r w:rsidR="00426F86">
        <w:rPr>
          <w:rFonts w:ascii="Arial" w:hAnsi="Arial" w:cs="Arial"/>
          <w:sz w:val="24"/>
          <w:szCs w:val="24"/>
        </w:rPr>
        <w:t>Aceite de Citronela (</w:t>
      </w:r>
      <w:r w:rsidR="005E5401" w:rsidRPr="006E5C8E">
        <w:rPr>
          <w:rFonts w:ascii="Arial" w:hAnsi="Arial" w:cs="Arial"/>
          <w:sz w:val="24"/>
          <w:szCs w:val="24"/>
        </w:rPr>
        <w:t>AEC</w:t>
      </w:r>
      <w:r w:rsidR="00426F86">
        <w:rPr>
          <w:rFonts w:ascii="Arial" w:hAnsi="Arial" w:cs="Arial"/>
          <w:sz w:val="24"/>
          <w:szCs w:val="24"/>
        </w:rPr>
        <w:t>)</w:t>
      </w:r>
      <w:r w:rsidRPr="006E5C8E">
        <w:rPr>
          <w:rFonts w:ascii="Arial" w:hAnsi="Arial" w:cs="Arial"/>
          <w:sz w:val="24"/>
          <w:szCs w:val="24"/>
        </w:rPr>
        <w:t xml:space="preserve">, y su sinergia con </w:t>
      </w:r>
      <w:r w:rsidR="00426F86">
        <w:rPr>
          <w:rFonts w:ascii="Arial" w:hAnsi="Arial" w:cs="Arial"/>
          <w:sz w:val="24"/>
          <w:szCs w:val="24"/>
        </w:rPr>
        <w:t xml:space="preserve">el </w:t>
      </w:r>
      <w:r w:rsidRPr="006E5C8E">
        <w:rPr>
          <w:rFonts w:ascii="Arial" w:hAnsi="Arial" w:cs="Arial"/>
          <w:sz w:val="24"/>
          <w:szCs w:val="24"/>
        </w:rPr>
        <w:t xml:space="preserve">veneno de: </w:t>
      </w:r>
      <w:r w:rsidRPr="006E5C8E">
        <w:rPr>
          <w:rFonts w:ascii="Arial" w:hAnsi="Arial" w:cs="Arial"/>
          <w:i/>
          <w:sz w:val="24"/>
          <w:szCs w:val="24"/>
        </w:rPr>
        <w:t>Micrurus mipartitus</w:t>
      </w:r>
      <w:r w:rsidR="00426F86">
        <w:rPr>
          <w:rFonts w:ascii="Arial" w:hAnsi="Arial" w:cs="Arial"/>
          <w:i/>
          <w:sz w:val="24"/>
          <w:szCs w:val="24"/>
        </w:rPr>
        <w:t>,</w:t>
      </w:r>
      <w:r w:rsidRPr="006E5C8E">
        <w:rPr>
          <w:rFonts w:ascii="Arial" w:hAnsi="Arial" w:cs="Arial"/>
          <w:i/>
          <w:sz w:val="24"/>
          <w:szCs w:val="24"/>
        </w:rPr>
        <w:t xml:space="preserve"> Micrurus dumerilii y Bothrops asper</w:t>
      </w:r>
      <w:r w:rsidR="00426F86">
        <w:rPr>
          <w:rFonts w:ascii="Arial" w:hAnsi="Arial" w:cs="Arial"/>
          <w:i/>
          <w:sz w:val="24"/>
          <w:szCs w:val="24"/>
        </w:rPr>
        <w:t xml:space="preserve">, </w:t>
      </w:r>
      <w:r w:rsidR="00426F86">
        <w:rPr>
          <w:rFonts w:ascii="Arial" w:hAnsi="Arial" w:cs="Arial"/>
          <w:sz w:val="24"/>
          <w:szCs w:val="24"/>
        </w:rPr>
        <w:t>en su actividad</w:t>
      </w:r>
      <w:r w:rsidR="00426F86" w:rsidRPr="006E5C8E">
        <w:rPr>
          <w:rFonts w:ascii="Arial" w:hAnsi="Arial" w:cs="Arial"/>
          <w:sz w:val="24"/>
          <w:szCs w:val="24"/>
        </w:rPr>
        <w:t xml:space="preserve"> antimicrobian</w:t>
      </w:r>
      <w:r w:rsidR="00426F86">
        <w:rPr>
          <w:rFonts w:ascii="Arial" w:hAnsi="Arial" w:cs="Arial"/>
          <w:sz w:val="24"/>
          <w:szCs w:val="24"/>
        </w:rPr>
        <w:t>a</w:t>
      </w:r>
      <w:r w:rsidR="00426F86" w:rsidRPr="006E5C8E">
        <w:rPr>
          <w:rFonts w:ascii="Arial" w:hAnsi="Arial" w:cs="Arial"/>
          <w:sz w:val="24"/>
          <w:szCs w:val="24"/>
        </w:rPr>
        <w:t xml:space="preserve"> </w:t>
      </w:r>
      <w:r w:rsidR="00426F86">
        <w:rPr>
          <w:rFonts w:ascii="Arial" w:hAnsi="Arial" w:cs="Arial"/>
          <w:sz w:val="24"/>
          <w:szCs w:val="24"/>
        </w:rPr>
        <w:t>sobre</w:t>
      </w:r>
      <w:r w:rsidR="00426F86" w:rsidRPr="006E5C8E">
        <w:rPr>
          <w:rFonts w:ascii="Arial" w:hAnsi="Arial" w:cs="Arial"/>
          <w:sz w:val="24"/>
          <w:szCs w:val="24"/>
        </w:rPr>
        <w:t xml:space="preserve"> fitopatógenos de interés en la industria alimentaria</w:t>
      </w:r>
    </w:p>
    <w:p w14:paraId="7BD77CB4" w14:textId="77777777" w:rsidR="00426F86" w:rsidRPr="006E5C8E" w:rsidRDefault="00426F86" w:rsidP="002B16A3">
      <w:pPr>
        <w:spacing w:after="0" w:line="276" w:lineRule="auto"/>
        <w:jc w:val="both"/>
        <w:rPr>
          <w:rFonts w:ascii="Arial" w:hAnsi="Arial" w:cs="Arial"/>
          <w:sz w:val="24"/>
          <w:szCs w:val="24"/>
        </w:rPr>
      </w:pPr>
    </w:p>
    <w:p w14:paraId="3F2346DE" w14:textId="010C6AF0" w:rsidR="00E71CFF" w:rsidRPr="006E5C8E" w:rsidRDefault="00E71CFF" w:rsidP="002B16A3">
      <w:pPr>
        <w:spacing w:after="0" w:line="276" w:lineRule="auto"/>
        <w:rPr>
          <w:rFonts w:ascii="Arial" w:hAnsi="Arial" w:cs="Arial"/>
          <w:b/>
          <w:sz w:val="24"/>
          <w:szCs w:val="24"/>
        </w:rPr>
      </w:pPr>
      <w:r w:rsidRPr="006E5C8E">
        <w:rPr>
          <w:rFonts w:ascii="Arial" w:hAnsi="Arial" w:cs="Arial"/>
          <w:b/>
          <w:sz w:val="24"/>
          <w:szCs w:val="24"/>
        </w:rPr>
        <w:t>METODOLOGÍA</w:t>
      </w:r>
      <w:r w:rsidR="00C54ECF" w:rsidRPr="006E5C8E">
        <w:rPr>
          <w:rFonts w:ascii="Arial" w:hAnsi="Arial" w:cs="Arial"/>
          <w:b/>
          <w:sz w:val="24"/>
          <w:szCs w:val="24"/>
        </w:rPr>
        <w:t>.</w:t>
      </w:r>
    </w:p>
    <w:p w14:paraId="1E0D19BE" w14:textId="4A1206B3" w:rsidR="00163F59" w:rsidRPr="006E5C8E" w:rsidRDefault="00163F59" w:rsidP="002B16A3">
      <w:pPr>
        <w:spacing w:after="0" w:line="276" w:lineRule="auto"/>
        <w:jc w:val="both"/>
        <w:rPr>
          <w:rFonts w:ascii="Arial" w:hAnsi="Arial" w:cs="Arial"/>
          <w:b/>
          <w:sz w:val="24"/>
          <w:szCs w:val="24"/>
        </w:rPr>
      </w:pPr>
      <w:r w:rsidRPr="006E5C8E">
        <w:rPr>
          <w:rFonts w:ascii="Arial" w:hAnsi="Arial" w:cs="Arial"/>
          <w:b/>
          <w:sz w:val="24"/>
          <w:szCs w:val="24"/>
        </w:rPr>
        <w:t>Materiales</w:t>
      </w:r>
    </w:p>
    <w:p w14:paraId="5CB47838" w14:textId="5BF8F0CD" w:rsidR="00D34235" w:rsidRPr="006E5C8E" w:rsidRDefault="00D34235" w:rsidP="002B16A3">
      <w:pPr>
        <w:spacing w:after="0" w:line="276" w:lineRule="auto"/>
        <w:jc w:val="both"/>
        <w:rPr>
          <w:rFonts w:ascii="Arial" w:hAnsi="Arial" w:cs="Arial"/>
          <w:sz w:val="24"/>
          <w:szCs w:val="24"/>
        </w:rPr>
      </w:pPr>
      <w:r w:rsidRPr="006E5C8E">
        <w:rPr>
          <w:rFonts w:ascii="Arial" w:hAnsi="Arial" w:cs="Arial"/>
          <w:sz w:val="24"/>
          <w:szCs w:val="24"/>
        </w:rPr>
        <w:t xml:space="preserve">Para la obtención del aceite esencial se utilizaron hojas de citronela sembrada y cosecha en </w:t>
      </w:r>
      <w:r w:rsidR="00C54ECF" w:rsidRPr="006E5C8E">
        <w:rPr>
          <w:rFonts w:ascii="Arial" w:hAnsi="Arial" w:cs="Arial"/>
          <w:sz w:val="24"/>
          <w:szCs w:val="24"/>
        </w:rPr>
        <w:t>la vereda Lourdes de Santuario</w:t>
      </w:r>
      <w:r w:rsidRPr="006E5C8E">
        <w:rPr>
          <w:rFonts w:ascii="Arial" w:hAnsi="Arial" w:cs="Arial"/>
          <w:sz w:val="24"/>
          <w:szCs w:val="24"/>
        </w:rPr>
        <w:t xml:space="preserve">, </w:t>
      </w:r>
      <w:r w:rsidR="00C54ECF" w:rsidRPr="006E5C8E">
        <w:rPr>
          <w:rFonts w:ascii="Arial" w:hAnsi="Arial" w:cs="Arial"/>
          <w:sz w:val="24"/>
          <w:szCs w:val="24"/>
        </w:rPr>
        <w:t xml:space="preserve">Antioquia, </w:t>
      </w:r>
      <w:r w:rsidRPr="006E5C8E">
        <w:rPr>
          <w:rFonts w:ascii="Arial" w:hAnsi="Arial" w:cs="Arial"/>
          <w:sz w:val="24"/>
          <w:szCs w:val="24"/>
        </w:rPr>
        <w:t xml:space="preserve">Colombia; las cuales fueron secadas a temperatura ambiente durante 12 horas previo su uso en el proceso. </w:t>
      </w:r>
    </w:p>
    <w:p w14:paraId="3097CCA2" w14:textId="64D986CF" w:rsidR="00163F59" w:rsidRPr="006E5C8E" w:rsidRDefault="00163F59" w:rsidP="002B16A3">
      <w:pPr>
        <w:spacing w:after="0" w:line="276" w:lineRule="auto"/>
        <w:jc w:val="both"/>
        <w:rPr>
          <w:rFonts w:ascii="Arial" w:hAnsi="Arial" w:cs="Arial"/>
          <w:b/>
          <w:sz w:val="24"/>
          <w:szCs w:val="24"/>
        </w:rPr>
      </w:pPr>
      <w:r w:rsidRPr="006E5C8E">
        <w:rPr>
          <w:rFonts w:ascii="Arial" w:hAnsi="Arial" w:cs="Arial"/>
          <w:sz w:val="24"/>
          <w:szCs w:val="24"/>
        </w:rPr>
        <w:t>Los veneno</w:t>
      </w:r>
      <w:r w:rsidR="00D34235" w:rsidRPr="006E5C8E">
        <w:rPr>
          <w:rFonts w:ascii="Arial" w:hAnsi="Arial" w:cs="Arial"/>
          <w:sz w:val="24"/>
          <w:szCs w:val="24"/>
        </w:rPr>
        <w:t>s</w:t>
      </w:r>
      <w:r w:rsidR="00DA5551">
        <w:rPr>
          <w:rFonts w:ascii="Arial" w:hAnsi="Arial" w:cs="Arial"/>
          <w:sz w:val="24"/>
          <w:szCs w:val="24"/>
        </w:rPr>
        <w:t xml:space="preserve"> liofilizados de</w:t>
      </w:r>
      <w:r w:rsidRPr="006E5C8E">
        <w:rPr>
          <w:rFonts w:ascii="Arial" w:hAnsi="Arial" w:cs="Arial"/>
          <w:sz w:val="24"/>
          <w:szCs w:val="24"/>
        </w:rPr>
        <w:t xml:space="preserve"> </w:t>
      </w:r>
      <w:r w:rsidR="00DA5551" w:rsidRPr="006E5C8E">
        <w:rPr>
          <w:rStyle w:val="nfasis"/>
          <w:rFonts w:ascii="Arial" w:hAnsi="Arial" w:cs="Arial"/>
          <w:sz w:val="24"/>
          <w:szCs w:val="24"/>
        </w:rPr>
        <w:t>Micrurus mipartitus</w:t>
      </w:r>
      <w:r w:rsidR="00DA5551">
        <w:rPr>
          <w:rStyle w:val="nfasis"/>
          <w:rFonts w:ascii="Arial" w:hAnsi="Arial" w:cs="Arial"/>
          <w:sz w:val="24"/>
          <w:szCs w:val="24"/>
        </w:rPr>
        <w:t>,</w:t>
      </w:r>
      <w:r w:rsidR="00DA5551" w:rsidRPr="006E5C8E">
        <w:rPr>
          <w:rStyle w:val="nfasis"/>
          <w:rFonts w:ascii="Arial" w:hAnsi="Arial" w:cs="Arial"/>
          <w:sz w:val="24"/>
          <w:szCs w:val="24"/>
        </w:rPr>
        <w:t xml:space="preserve"> Micrurus dumerilii y Bothrops asper</w:t>
      </w:r>
      <w:r w:rsidR="00DA5551" w:rsidRPr="006E5C8E">
        <w:rPr>
          <w:rFonts w:ascii="Arial" w:hAnsi="Arial" w:cs="Arial"/>
          <w:sz w:val="24"/>
          <w:szCs w:val="24"/>
        </w:rPr>
        <w:t xml:space="preserve"> </w:t>
      </w:r>
      <w:r w:rsidR="00426F86">
        <w:rPr>
          <w:rFonts w:ascii="Arial" w:hAnsi="Arial" w:cs="Arial"/>
          <w:sz w:val="24"/>
          <w:szCs w:val="24"/>
        </w:rPr>
        <w:t>fueron suministrados por el serpentario de la Universidad de Antioquia</w:t>
      </w:r>
      <w:r w:rsidR="00DA5551">
        <w:rPr>
          <w:rFonts w:ascii="Arial" w:hAnsi="Arial" w:cs="Arial"/>
          <w:sz w:val="24"/>
          <w:szCs w:val="24"/>
        </w:rPr>
        <w:t xml:space="preserve">. </w:t>
      </w:r>
    </w:p>
    <w:p w14:paraId="47031396" w14:textId="77777777" w:rsidR="00C54ECF" w:rsidRPr="006E5C8E" w:rsidRDefault="00C54ECF" w:rsidP="002B16A3">
      <w:pPr>
        <w:spacing w:after="0" w:line="276" w:lineRule="auto"/>
        <w:jc w:val="both"/>
        <w:rPr>
          <w:rFonts w:ascii="Arial" w:hAnsi="Arial" w:cs="Arial"/>
          <w:b/>
          <w:sz w:val="24"/>
          <w:szCs w:val="24"/>
        </w:rPr>
      </w:pPr>
    </w:p>
    <w:p w14:paraId="01798E7A" w14:textId="546F259E" w:rsidR="00D34235" w:rsidRPr="006E5C8E" w:rsidRDefault="008E5921" w:rsidP="002B16A3">
      <w:pPr>
        <w:spacing w:after="0" w:line="276" w:lineRule="auto"/>
        <w:jc w:val="both"/>
        <w:rPr>
          <w:rFonts w:ascii="Arial" w:hAnsi="Arial" w:cs="Arial"/>
          <w:b/>
          <w:sz w:val="24"/>
          <w:szCs w:val="24"/>
        </w:rPr>
      </w:pPr>
      <w:r w:rsidRPr="006E5C8E">
        <w:rPr>
          <w:rFonts w:ascii="Arial" w:hAnsi="Arial" w:cs="Arial"/>
          <w:b/>
          <w:sz w:val="24"/>
          <w:szCs w:val="24"/>
        </w:rPr>
        <w:t>Extracción del aceite esencial de citronela</w:t>
      </w:r>
    </w:p>
    <w:p w14:paraId="28198716" w14:textId="052D2027" w:rsidR="00E71CFF" w:rsidRPr="006E5C8E" w:rsidRDefault="00E83FC1" w:rsidP="002B16A3">
      <w:pPr>
        <w:spacing w:after="0" w:line="276" w:lineRule="auto"/>
        <w:jc w:val="both"/>
        <w:rPr>
          <w:rFonts w:ascii="Arial" w:hAnsi="Arial" w:cs="Arial"/>
          <w:sz w:val="24"/>
          <w:szCs w:val="24"/>
        </w:rPr>
      </w:pPr>
      <w:r>
        <w:rPr>
          <w:rFonts w:ascii="Arial" w:hAnsi="Arial" w:cs="Arial"/>
          <w:sz w:val="24"/>
          <w:szCs w:val="24"/>
        </w:rPr>
        <w:t>Las hojas de citronela se usaron para l</w:t>
      </w:r>
      <w:r w:rsidR="008E5921" w:rsidRPr="006E5C8E">
        <w:rPr>
          <w:rFonts w:ascii="Arial" w:hAnsi="Arial" w:cs="Arial"/>
          <w:sz w:val="24"/>
          <w:szCs w:val="24"/>
        </w:rPr>
        <w:t xml:space="preserve">a extracción del </w:t>
      </w:r>
      <w:r w:rsidR="005E5401" w:rsidRPr="006E5C8E">
        <w:rPr>
          <w:rFonts w:ascii="Arial" w:hAnsi="Arial" w:cs="Arial"/>
          <w:sz w:val="24"/>
          <w:szCs w:val="24"/>
        </w:rPr>
        <w:t>AEC</w:t>
      </w:r>
      <w:r>
        <w:rPr>
          <w:rFonts w:ascii="Arial" w:hAnsi="Arial" w:cs="Arial"/>
          <w:sz w:val="24"/>
          <w:szCs w:val="24"/>
        </w:rPr>
        <w:t xml:space="preserve">, </w:t>
      </w:r>
      <w:r w:rsidR="008E5921" w:rsidRPr="006E5C8E">
        <w:rPr>
          <w:rFonts w:ascii="Arial" w:hAnsi="Arial" w:cs="Arial"/>
          <w:sz w:val="24"/>
          <w:szCs w:val="24"/>
        </w:rPr>
        <w:t xml:space="preserve">mediante arrastre por vapor no saturado, con una posterior condensación en un serpentín a contra reflujo de agua fría. </w:t>
      </w:r>
      <w:r w:rsidR="00163F59" w:rsidRPr="006E5C8E">
        <w:rPr>
          <w:rFonts w:ascii="Arial" w:hAnsi="Arial" w:cs="Arial"/>
          <w:sz w:val="24"/>
          <w:szCs w:val="24"/>
        </w:rPr>
        <w:t>Finalmente,</w:t>
      </w:r>
      <w:r w:rsidR="008E5921" w:rsidRPr="006E5C8E">
        <w:rPr>
          <w:rFonts w:ascii="Arial" w:hAnsi="Arial" w:cs="Arial"/>
          <w:sz w:val="24"/>
          <w:szCs w:val="24"/>
        </w:rPr>
        <w:t xml:space="preserve"> el aceite </w:t>
      </w:r>
      <w:r w:rsidR="009B5724">
        <w:rPr>
          <w:rFonts w:ascii="Arial" w:hAnsi="Arial" w:cs="Arial"/>
          <w:sz w:val="24"/>
          <w:szCs w:val="24"/>
        </w:rPr>
        <w:t>fue</w:t>
      </w:r>
      <w:r w:rsidR="008E5921" w:rsidRPr="006E5C8E">
        <w:rPr>
          <w:rFonts w:ascii="Arial" w:hAnsi="Arial" w:cs="Arial"/>
          <w:sz w:val="24"/>
          <w:szCs w:val="24"/>
        </w:rPr>
        <w:t xml:space="preserve"> separado del hidrolato</w:t>
      </w:r>
      <w:r w:rsidR="00DA5551">
        <w:rPr>
          <w:rFonts w:ascii="Arial" w:hAnsi="Arial" w:cs="Arial"/>
          <w:sz w:val="24"/>
          <w:szCs w:val="24"/>
        </w:rPr>
        <w:t xml:space="preserve"> (fase acuosa)</w:t>
      </w:r>
      <w:r w:rsidR="008E5921" w:rsidRPr="006E5C8E">
        <w:rPr>
          <w:rFonts w:ascii="Arial" w:hAnsi="Arial" w:cs="Arial"/>
          <w:sz w:val="24"/>
          <w:szCs w:val="24"/>
        </w:rPr>
        <w:t xml:space="preserve"> por diferencia de densidades. </w:t>
      </w:r>
    </w:p>
    <w:p w14:paraId="29997AC9" w14:textId="00083895" w:rsidR="00163F59" w:rsidRPr="006E5C8E" w:rsidRDefault="00163F59" w:rsidP="002B16A3">
      <w:pPr>
        <w:spacing w:after="0" w:line="276" w:lineRule="auto"/>
        <w:jc w:val="both"/>
        <w:rPr>
          <w:rFonts w:ascii="Arial" w:hAnsi="Arial" w:cs="Arial"/>
          <w:sz w:val="24"/>
          <w:szCs w:val="24"/>
        </w:rPr>
      </w:pPr>
    </w:p>
    <w:p w14:paraId="70CE1FB4" w14:textId="77777777" w:rsidR="00163F59" w:rsidRPr="006E5C8E" w:rsidRDefault="00163F59" w:rsidP="002B16A3">
      <w:pPr>
        <w:spacing w:after="0" w:line="276" w:lineRule="auto"/>
        <w:jc w:val="both"/>
        <w:rPr>
          <w:rFonts w:ascii="Arial" w:hAnsi="Arial" w:cs="Arial"/>
          <w:b/>
          <w:sz w:val="24"/>
          <w:szCs w:val="24"/>
        </w:rPr>
      </w:pPr>
      <w:r w:rsidRPr="006E5C8E">
        <w:rPr>
          <w:rFonts w:ascii="Arial" w:hAnsi="Arial" w:cs="Arial"/>
          <w:b/>
          <w:sz w:val="24"/>
          <w:szCs w:val="24"/>
        </w:rPr>
        <w:t>Preparación de la solución filmogénica</w:t>
      </w:r>
    </w:p>
    <w:p w14:paraId="2EA31FF9" w14:textId="399449A9" w:rsidR="00163F59" w:rsidRPr="006E5C8E" w:rsidRDefault="00163F59" w:rsidP="002B16A3">
      <w:pPr>
        <w:spacing w:after="0" w:line="276" w:lineRule="auto"/>
        <w:jc w:val="both"/>
        <w:rPr>
          <w:rFonts w:ascii="Arial" w:hAnsi="Arial" w:cs="Arial"/>
          <w:sz w:val="24"/>
          <w:szCs w:val="24"/>
        </w:rPr>
      </w:pPr>
      <w:r w:rsidRPr="006E5C8E">
        <w:rPr>
          <w:rFonts w:ascii="Arial" w:hAnsi="Arial" w:cs="Arial"/>
          <w:sz w:val="24"/>
          <w:szCs w:val="24"/>
        </w:rPr>
        <w:t xml:space="preserve">Las soluciones formadoras de películas fueron realizadas empleando la formulación establecida </w:t>
      </w:r>
      <w:r w:rsidR="00E83FC1">
        <w:rPr>
          <w:rFonts w:ascii="Arial" w:hAnsi="Arial" w:cs="Arial"/>
          <w:sz w:val="24"/>
          <w:szCs w:val="24"/>
        </w:rPr>
        <w:t>previamente por Reyes et al. (2021)</w:t>
      </w:r>
      <w:r w:rsidRPr="006E5C8E">
        <w:rPr>
          <w:rFonts w:ascii="Arial" w:hAnsi="Arial" w:cs="Arial"/>
          <w:sz w:val="24"/>
          <w:szCs w:val="24"/>
        </w:rPr>
        <w:t xml:space="preserve">. Como macromolécula </w:t>
      </w:r>
      <w:r w:rsidR="00D34235" w:rsidRPr="006E5C8E">
        <w:rPr>
          <w:rFonts w:ascii="Arial" w:hAnsi="Arial" w:cs="Arial"/>
          <w:sz w:val="24"/>
          <w:szCs w:val="24"/>
        </w:rPr>
        <w:t xml:space="preserve">se utilizó </w:t>
      </w:r>
      <w:r w:rsidRPr="006E5C8E">
        <w:rPr>
          <w:rFonts w:ascii="Arial" w:hAnsi="Arial" w:cs="Arial"/>
          <w:sz w:val="24"/>
          <w:szCs w:val="24"/>
        </w:rPr>
        <w:t>gelatina tipo A, glicerol como plastificante y Tween 80 como emulsificante. Considerando los niveles de incorporación de los compuestos activos</w:t>
      </w:r>
      <w:r w:rsidR="00E83FC1">
        <w:rPr>
          <w:rFonts w:ascii="Arial" w:hAnsi="Arial" w:cs="Arial"/>
          <w:sz w:val="24"/>
          <w:szCs w:val="24"/>
        </w:rPr>
        <w:t>.</w:t>
      </w:r>
    </w:p>
    <w:p w14:paraId="430E565E" w14:textId="77777777" w:rsidR="00163F59" w:rsidRPr="006E5C8E" w:rsidRDefault="00163F59" w:rsidP="002B16A3">
      <w:pPr>
        <w:spacing w:after="0" w:line="276" w:lineRule="auto"/>
        <w:jc w:val="both"/>
        <w:rPr>
          <w:rFonts w:ascii="Arial" w:hAnsi="Arial" w:cs="Arial"/>
          <w:sz w:val="24"/>
          <w:szCs w:val="24"/>
        </w:rPr>
      </w:pPr>
    </w:p>
    <w:p w14:paraId="2AB7C568" w14:textId="234069C8" w:rsidR="00163F59" w:rsidRPr="006E5C8E" w:rsidRDefault="00163F59" w:rsidP="002B16A3">
      <w:pPr>
        <w:spacing w:after="0" w:line="276" w:lineRule="auto"/>
        <w:jc w:val="both"/>
        <w:rPr>
          <w:rFonts w:ascii="Arial" w:hAnsi="Arial" w:cs="Arial"/>
          <w:b/>
          <w:sz w:val="24"/>
          <w:szCs w:val="24"/>
        </w:rPr>
      </w:pPr>
      <w:r w:rsidRPr="006E5C8E">
        <w:rPr>
          <w:rFonts w:ascii="Arial" w:hAnsi="Arial" w:cs="Arial"/>
          <w:b/>
          <w:sz w:val="24"/>
          <w:szCs w:val="24"/>
        </w:rPr>
        <w:t xml:space="preserve">Prueba de inhibición por el método </w:t>
      </w:r>
      <w:r w:rsidR="00D34235" w:rsidRPr="006E5C8E">
        <w:rPr>
          <w:rFonts w:ascii="Arial" w:hAnsi="Arial" w:cs="Arial"/>
          <w:b/>
          <w:sz w:val="24"/>
          <w:szCs w:val="24"/>
        </w:rPr>
        <w:t>microdilución en caldo</w:t>
      </w:r>
    </w:p>
    <w:p w14:paraId="7926D1E1" w14:textId="62F489DD" w:rsidR="005873AA" w:rsidRPr="006E5C8E" w:rsidRDefault="005873AA" w:rsidP="002B16A3">
      <w:pPr>
        <w:spacing w:after="0" w:line="276" w:lineRule="auto"/>
        <w:jc w:val="both"/>
        <w:rPr>
          <w:rFonts w:ascii="Arial" w:hAnsi="Arial" w:cs="Arial"/>
          <w:sz w:val="24"/>
          <w:szCs w:val="24"/>
        </w:rPr>
      </w:pPr>
      <w:r w:rsidRPr="006E5C8E">
        <w:rPr>
          <w:rFonts w:ascii="Arial" w:hAnsi="Arial" w:cs="Arial"/>
          <w:sz w:val="24"/>
          <w:szCs w:val="24"/>
        </w:rPr>
        <w:t xml:space="preserve">Se empleó el método de microdilución en caldo colorimétrico </w:t>
      </w:r>
      <w:r w:rsidR="00647CDF" w:rsidRPr="006E5C8E">
        <w:rPr>
          <w:rFonts w:ascii="Arial" w:hAnsi="Arial" w:cs="Arial"/>
          <w:sz w:val="24"/>
          <w:szCs w:val="24"/>
        </w:rPr>
        <w:t xml:space="preserve">siguiendo el protocolo descrito por Gomez-Sampedro </w:t>
      </w:r>
      <w:r w:rsidRPr="006E5C8E">
        <w:rPr>
          <w:rFonts w:ascii="Arial" w:hAnsi="Arial" w:cs="Arial"/>
          <w:sz w:val="24"/>
          <w:szCs w:val="24"/>
        </w:rPr>
        <w:t>(</w:t>
      </w:r>
      <w:r w:rsidR="00647CDF" w:rsidRPr="006E5C8E">
        <w:rPr>
          <w:rFonts w:ascii="Arial" w:hAnsi="Arial" w:cs="Arial"/>
          <w:sz w:val="24"/>
          <w:szCs w:val="24"/>
        </w:rPr>
        <w:t>2013</w:t>
      </w:r>
      <w:r w:rsidRPr="006E5C8E">
        <w:rPr>
          <w:rFonts w:ascii="Arial" w:hAnsi="Arial" w:cs="Arial"/>
          <w:sz w:val="24"/>
          <w:szCs w:val="24"/>
        </w:rPr>
        <w:t>), con algunas modificaciones. Para la preparación del inoculo, cada cepa bacteriana</w:t>
      </w:r>
      <w:r w:rsidR="00D35C4D" w:rsidRPr="006E5C8E">
        <w:rPr>
          <w:rFonts w:ascii="Arial" w:hAnsi="Arial" w:cs="Arial"/>
          <w:sz w:val="24"/>
          <w:szCs w:val="24"/>
        </w:rPr>
        <w:t xml:space="preserve"> (</w:t>
      </w:r>
      <w:r w:rsidR="00D35C4D" w:rsidRPr="006E5C8E">
        <w:rPr>
          <w:rFonts w:ascii="Arial" w:hAnsi="Arial" w:cs="Arial"/>
          <w:i/>
          <w:sz w:val="24"/>
          <w:szCs w:val="24"/>
        </w:rPr>
        <w:t>Pectobacterium sp. y Xanthomonas campestris)</w:t>
      </w:r>
      <w:r w:rsidRPr="006E5C8E">
        <w:rPr>
          <w:rFonts w:ascii="Arial" w:hAnsi="Arial" w:cs="Arial"/>
          <w:sz w:val="24"/>
          <w:szCs w:val="24"/>
        </w:rPr>
        <w:t xml:space="preserve"> fue incubada durante 24 h a 3</w:t>
      </w:r>
      <w:r w:rsidR="00647CDF" w:rsidRPr="006E5C8E">
        <w:rPr>
          <w:rFonts w:ascii="Arial" w:hAnsi="Arial" w:cs="Arial"/>
          <w:sz w:val="24"/>
          <w:szCs w:val="24"/>
        </w:rPr>
        <w:t>7</w:t>
      </w:r>
      <w:r w:rsidRPr="006E5C8E">
        <w:rPr>
          <w:rFonts w:ascii="Arial" w:hAnsi="Arial" w:cs="Arial"/>
          <w:sz w:val="24"/>
          <w:szCs w:val="24"/>
        </w:rPr>
        <w:t xml:space="preserve"> °C en caldo Mueller-Hilton, y ajustada a una densidad final de 10⁸ UFC/mL (estándar de McFarland de 0.5). Se realizaron diluciones </w:t>
      </w:r>
      <w:r w:rsidR="00647CDF" w:rsidRPr="006E5C8E">
        <w:rPr>
          <w:rFonts w:ascii="Arial" w:hAnsi="Arial" w:cs="Arial"/>
          <w:sz w:val="24"/>
          <w:szCs w:val="24"/>
        </w:rPr>
        <w:t xml:space="preserve">sucesivas del </w:t>
      </w:r>
      <w:r w:rsidR="005E5401" w:rsidRPr="006E5C8E">
        <w:rPr>
          <w:rFonts w:ascii="Arial" w:hAnsi="Arial" w:cs="Arial"/>
          <w:sz w:val="24"/>
          <w:szCs w:val="24"/>
        </w:rPr>
        <w:t>AEC</w:t>
      </w:r>
      <w:r w:rsidR="00647CDF" w:rsidRPr="006E5C8E">
        <w:rPr>
          <w:rFonts w:ascii="Arial" w:hAnsi="Arial" w:cs="Arial"/>
          <w:sz w:val="24"/>
          <w:szCs w:val="24"/>
        </w:rPr>
        <w:t xml:space="preserve"> entre </w:t>
      </w:r>
      <w:r w:rsidR="00572A38" w:rsidRPr="006E5C8E">
        <w:rPr>
          <w:rFonts w:ascii="Arial" w:hAnsi="Arial" w:cs="Arial"/>
          <w:sz w:val="24"/>
          <w:szCs w:val="24"/>
        </w:rPr>
        <w:t>6 al 0.</w:t>
      </w:r>
      <w:r w:rsidR="005E5401" w:rsidRPr="006E5C8E">
        <w:rPr>
          <w:rFonts w:ascii="Arial" w:hAnsi="Arial" w:cs="Arial"/>
          <w:sz w:val="24"/>
          <w:szCs w:val="24"/>
        </w:rPr>
        <w:t xml:space="preserve">37 </w:t>
      </w:r>
      <w:r w:rsidR="00572A38" w:rsidRPr="006E5C8E">
        <w:rPr>
          <w:rFonts w:ascii="Arial" w:hAnsi="Arial" w:cs="Arial"/>
          <w:sz w:val="24"/>
          <w:szCs w:val="24"/>
        </w:rPr>
        <w:t>% (p/v)</w:t>
      </w:r>
      <w:r w:rsidRPr="006E5C8E">
        <w:rPr>
          <w:rFonts w:ascii="Arial" w:hAnsi="Arial" w:cs="Arial"/>
          <w:sz w:val="24"/>
          <w:szCs w:val="24"/>
        </w:rPr>
        <w:t xml:space="preserve"> </w:t>
      </w:r>
      <w:r w:rsidR="00647CDF" w:rsidRPr="006E5C8E">
        <w:rPr>
          <w:rFonts w:ascii="Arial" w:hAnsi="Arial" w:cs="Arial"/>
          <w:sz w:val="24"/>
          <w:szCs w:val="24"/>
        </w:rPr>
        <w:t xml:space="preserve">diluyéndolo tanto en </w:t>
      </w:r>
      <w:r w:rsidR="005D58BE" w:rsidRPr="005D58BE">
        <w:rPr>
          <w:rFonts w:ascii="Arial" w:hAnsi="Arial" w:cs="Arial"/>
          <w:sz w:val="24"/>
          <w:szCs w:val="24"/>
        </w:rPr>
        <w:t>dimetilsulfóxido</w:t>
      </w:r>
      <w:r w:rsidR="005D58BE">
        <w:rPr>
          <w:rFonts w:ascii="Arial" w:hAnsi="Arial" w:cs="Arial"/>
          <w:sz w:val="24"/>
          <w:szCs w:val="24"/>
        </w:rPr>
        <w:t xml:space="preserve"> (</w:t>
      </w:r>
      <w:r w:rsidR="00647CDF" w:rsidRPr="006E5C8E">
        <w:rPr>
          <w:rFonts w:ascii="Arial" w:hAnsi="Arial" w:cs="Arial"/>
          <w:sz w:val="24"/>
          <w:szCs w:val="24"/>
        </w:rPr>
        <w:t>DMSO</w:t>
      </w:r>
      <w:r w:rsidR="005D58BE">
        <w:rPr>
          <w:rFonts w:ascii="Arial" w:hAnsi="Arial" w:cs="Arial"/>
          <w:sz w:val="24"/>
          <w:szCs w:val="24"/>
        </w:rPr>
        <w:t>)</w:t>
      </w:r>
      <w:r w:rsidR="00647CDF" w:rsidRPr="006E5C8E">
        <w:rPr>
          <w:rFonts w:ascii="Arial" w:hAnsi="Arial" w:cs="Arial"/>
          <w:sz w:val="24"/>
          <w:szCs w:val="24"/>
        </w:rPr>
        <w:t xml:space="preserve"> como en la solución filmogénica</w:t>
      </w:r>
      <w:r w:rsidRPr="006E5C8E">
        <w:rPr>
          <w:rFonts w:ascii="Arial" w:hAnsi="Arial" w:cs="Arial"/>
          <w:sz w:val="24"/>
          <w:szCs w:val="24"/>
        </w:rPr>
        <w:t xml:space="preserve">. Se utilizaron microplatos de 96 pozos fondo plano, mezclando en cada pozo </w:t>
      </w:r>
      <w:r w:rsidR="001E0CF5" w:rsidRPr="006E5C8E">
        <w:rPr>
          <w:rFonts w:ascii="Arial" w:hAnsi="Arial" w:cs="Arial"/>
          <w:sz w:val="24"/>
          <w:szCs w:val="24"/>
        </w:rPr>
        <w:t>20</w:t>
      </w:r>
      <w:r w:rsidRPr="006E5C8E">
        <w:rPr>
          <w:rFonts w:ascii="Arial" w:hAnsi="Arial" w:cs="Arial"/>
          <w:sz w:val="24"/>
          <w:szCs w:val="24"/>
        </w:rPr>
        <w:t xml:space="preserve"> µL de</w:t>
      </w:r>
      <w:r w:rsidR="001E0CF5" w:rsidRPr="006E5C8E">
        <w:rPr>
          <w:rFonts w:ascii="Arial" w:hAnsi="Arial" w:cs="Arial"/>
          <w:sz w:val="24"/>
          <w:szCs w:val="24"/>
        </w:rPr>
        <w:t>l aceite</w:t>
      </w:r>
      <w:r w:rsidRPr="006E5C8E">
        <w:rPr>
          <w:rFonts w:ascii="Arial" w:hAnsi="Arial" w:cs="Arial"/>
          <w:sz w:val="24"/>
          <w:szCs w:val="24"/>
        </w:rPr>
        <w:t xml:space="preserve">, </w:t>
      </w:r>
      <w:r w:rsidR="00235B7B" w:rsidRPr="006E5C8E">
        <w:rPr>
          <w:rFonts w:ascii="Arial" w:hAnsi="Arial" w:cs="Arial"/>
          <w:sz w:val="24"/>
          <w:szCs w:val="24"/>
        </w:rPr>
        <w:t>80</w:t>
      </w:r>
      <w:r w:rsidRPr="006E5C8E">
        <w:rPr>
          <w:rFonts w:ascii="Arial" w:hAnsi="Arial" w:cs="Arial"/>
          <w:sz w:val="24"/>
          <w:szCs w:val="24"/>
        </w:rPr>
        <w:t xml:space="preserve"> µL de caldo Mueller-Hinton y 10</w:t>
      </w:r>
      <w:r w:rsidR="00235B7B" w:rsidRPr="006E5C8E">
        <w:rPr>
          <w:rFonts w:ascii="Arial" w:hAnsi="Arial" w:cs="Arial"/>
          <w:sz w:val="24"/>
          <w:szCs w:val="24"/>
        </w:rPr>
        <w:t>0</w:t>
      </w:r>
      <w:r w:rsidRPr="006E5C8E">
        <w:rPr>
          <w:rFonts w:ascii="Arial" w:hAnsi="Arial" w:cs="Arial"/>
          <w:sz w:val="24"/>
          <w:szCs w:val="24"/>
        </w:rPr>
        <w:t xml:space="preserve"> µL del inoculo. Como control </w:t>
      </w:r>
      <w:r w:rsidR="00DA5551">
        <w:rPr>
          <w:rFonts w:ascii="Arial" w:hAnsi="Arial" w:cs="Arial"/>
          <w:sz w:val="24"/>
          <w:szCs w:val="24"/>
        </w:rPr>
        <w:t xml:space="preserve">se </w:t>
      </w:r>
      <w:r w:rsidRPr="006E5C8E">
        <w:rPr>
          <w:rFonts w:ascii="Arial" w:hAnsi="Arial" w:cs="Arial"/>
          <w:sz w:val="24"/>
          <w:szCs w:val="24"/>
        </w:rPr>
        <w:t xml:space="preserve">usó </w:t>
      </w:r>
      <w:r w:rsidR="00235B7B" w:rsidRPr="006E5C8E">
        <w:rPr>
          <w:rFonts w:ascii="Arial" w:hAnsi="Arial" w:cs="Arial"/>
          <w:sz w:val="24"/>
          <w:szCs w:val="24"/>
        </w:rPr>
        <w:t xml:space="preserve">el medio de cultivo </w:t>
      </w:r>
      <w:r w:rsidRPr="006E5C8E">
        <w:rPr>
          <w:rFonts w:ascii="Arial" w:hAnsi="Arial" w:cs="Arial"/>
          <w:sz w:val="24"/>
          <w:szCs w:val="24"/>
        </w:rPr>
        <w:t xml:space="preserve">y </w:t>
      </w:r>
      <w:r w:rsidR="00235B7B" w:rsidRPr="006E5C8E">
        <w:rPr>
          <w:rFonts w:ascii="Arial" w:hAnsi="Arial" w:cs="Arial"/>
          <w:sz w:val="24"/>
          <w:szCs w:val="24"/>
        </w:rPr>
        <w:t>la solución filmogénica</w:t>
      </w:r>
      <w:r w:rsidRPr="006E5C8E">
        <w:rPr>
          <w:rFonts w:ascii="Arial" w:hAnsi="Arial" w:cs="Arial"/>
          <w:sz w:val="24"/>
          <w:szCs w:val="24"/>
        </w:rPr>
        <w:t>, y cada muestra se evaluó por triplicado. Los microplatos fueron incubados a 3</w:t>
      </w:r>
      <w:r w:rsidR="00235B7B" w:rsidRPr="006E5C8E">
        <w:rPr>
          <w:rFonts w:ascii="Arial" w:hAnsi="Arial" w:cs="Arial"/>
          <w:sz w:val="24"/>
          <w:szCs w:val="24"/>
        </w:rPr>
        <w:t>7</w:t>
      </w:r>
      <w:r w:rsidRPr="006E5C8E">
        <w:rPr>
          <w:rFonts w:ascii="Arial" w:hAnsi="Arial" w:cs="Arial"/>
          <w:sz w:val="24"/>
          <w:szCs w:val="24"/>
        </w:rPr>
        <w:t xml:space="preserve"> °C durante 4 h. La lectura se realizó adicionando 2</w:t>
      </w:r>
      <w:r w:rsidR="00235B7B" w:rsidRPr="006E5C8E">
        <w:rPr>
          <w:rFonts w:ascii="Arial" w:hAnsi="Arial" w:cs="Arial"/>
          <w:sz w:val="24"/>
          <w:szCs w:val="24"/>
        </w:rPr>
        <w:t>0</w:t>
      </w:r>
      <w:r w:rsidRPr="006E5C8E">
        <w:rPr>
          <w:rFonts w:ascii="Arial" w:hAnsi="Arial" w:cs="Arial"/>
          <w:sz w:val="24"/>
          <w:szCs w:val="24"/>
        </w:rPr>
        <w:t xml:space="preserve"> µL de colorante vital bromuro de 3-4,4-di-methylthiazolyl-2-2,5 diphenyltetrazolium (MTT) a 0.8 mg/mL a cada uno de los pozos, e incubando a 37 °C durante 1 h, para permitir a las células vivas metabolizar el MTT.</w:t>
      </w:r>
      <w:r w:rsidR="00235B7B" w:rsidRPr="006E5C8E">
        <w:rPr>
          <w:rFonts w:ascii="Arial" w:hAnsi="Arial" w:cs="Arial"/>
          <w:sz w:val="24"/>
          <w:szCs w:val="24"/>
        </w:rPr>
        <w:t xml:space="preserve"> Finalmente se realizó la medición de la absorbancia a 660 nm, mediante un lector multipocillo Varioskan Lux (Thermo </w:t>
      </w:r>
      <w:r w:rsidR="00572A38" w:rsidRPr="006E5C8E">
        <w:rPr>
          <w:rFonts w:ascii="Arial" w:hAnsi="Arial" w:cs="Arial"/>
          <w:sz w:val="24"/>
          <w:szCs w:val="24"/>
        </w:rPr>
        <w:t xml:space="preserve">Fisher Scientific, EEUU) y los resultados son reportados como porcentaje de inhibición con respecto al control. </w:t>
      </w:r>
    </w:p>
    <w:p w14:paraId="4D30F2BE" w14:textId="62AAD98E" w:rsidR="00154DD2" w:rsidRDefault="00E463AD" w:rsidP="002B16A3">
      <w:pPr>
        <w:spacing w:after="0" w:line="276" w:lineRule="auto"/>
        <w:jc w:val="both"/>
        <w:rPr>
          <w:rStyle w:val="nfasis"/>
          <w:rFonts w:ascii="Arial" w:hAnsi="Arial" w:cs="Arial"/>
          <w:i w:val="0"/>
          <w:sz w:val="24"/>
          <w:szCs w:val="24"/>
        </w:rPr>
      </w:pPr>
      <w:r w:rsidRPr="006E5C8E">
        <w:rPr>
          <w:rFonts w:ascii="Arial" w:hAnsi="Arial" w:cs="Arial"/>
          <w:sz w:val="24"/>
          <w:szCs w:val="24"/>
        </w:rPr>
        <w:t xml:space="preserve">Adicionalmente, se evaluó la actividad antibacteriana del AEC </w:t>
      </w:r>
      <w:r w:rsidR="008076DC" w:rsidRPr="006E5C8E">
        <w:rPr>
          <w:rFonts w:ascii="Arial" w:hAnsi="Arial" w:cs="Arial"/>
          <w:sz w:val="24"/>
          <w:szCs w:val="24"/>
        </w:rPr>
        <w:t xml:space="preserve">en la solución fimogénica, </w:t>
      </w:r>
      <w:r w:rsidRPr="006E5C8E">
        <w:rPr>
          <w:rFonts w:ascii="Arial" w:hAnsi="Arial" w:cs="Arial"/>
          <w:sz w:val="24"/>
          <w:szCs w:val="24"/>
        </w:rPr>
        <w:t xml:space="preserve">mezclado con veneno de </w:t>
      </w:r>
      <w:r w:rsidRPr="006E5C8E">
        <w:rPr>
          <w:rStyle w:val="nfasis"/>
          <w:rFonts w:ascii="Arial" w:hAnsi="Arial" w:cs="Arial"/>
          <w:sz w:val="24"/>
          <w:szCs w:val="24"/>
        </w:rPr>
        <w:t>Micrurus mipartitus</w:t>
      </w:r>
      <w:r w:rsidR="00D35C4D" w:rsidRPr="006E5C8E">
        <w:rPr>
          <w:rStyle w:val="nfasis"/>
          <w:rFonts w:ascii="Arial" w:hAnsi="Arial" w:cs="Arial"/>
          <w:sz w:val="24"/>
          <w:szCs w:val="24"/>
        </w:rPr>
        <w:t xml:space="preserve"> (MM)</w:t>
      </w:r>
      <w:r w:rsidRPr="006E5C8E">
        <w:rPr>
          <w:rStyle w:val="nfasis"/>
          <w:rFonts w:ascii="Arial" w:hAnsi="Arial" w:cs="Arial"/>
          <w:sz w:val="24"/>
          <w:szCs w:val="24"/>
        </w:rPr>
        <w:t xml:space="preserve"> y Micrurus dumerilii</w:t>
      </w:r>
      <w:r w:rsidR="00D35C4D" w:rsidRPr="006E5C8E">
        <w:rPr>
          <w:rStyle w:val="nfasis"/>
          <w:rFonts w:ascii="Arial" w:hAnsi="Arial" w:cs="Arial"/>
          <w:sz w:val="24"/>
          <w:szCs w:val="24"/>
        </w:rPr>
        <w:t xml:space="preserve"> (MD)</w:t>
      </w:r>
      <w:r w:rsidRPr="006E5C8E">
        <w:rPr>
          <w:rStyle w:val="nfasis"/>
          <w:rFonts w:ascii="Arial" w:hAnsi="Arial" w:cs="Arial"/>
          <w:sz w:val="24"/>
          <w:szCs w:val="24"/>
        </w:rPr>
        <w:t xml:space="preserve"> y Bothrops asper</w:t>
      </w:r>
      <w:r w:rsidR="00D35C4D" w:rsidRPr="006E5C8E">
        <w:rPr>
          <w:rStyle w:val="nfasis"/>
          <w:rFonts w:ascii="Arial" w:hAnsi="Arial" w:cs="Arial"/>
          <w:sz w:val="24"/>
          <w:szCs w:val="24"/>
        </w:rPr>
        <w:t xml:space="preserve"> (BA)</w:t>
      </w:r>
      <w:r w:rsidRPr="006E5C8E">
        <w:rPr>
          <w:rStyle w:val="nfasis"/>
          <w:rFonts w:ascii="Arial" w:hAnsi="Arial" w:cs="Arial"/>
          <w:sz w:val="24"/>
          <w:szCs w:val="24"/>
        </w:rPr>
        <w:t xml:space="preserve">, </w:t>
      </w:r>
      <w:r w:rsidRPr="006E5C8E">
        <w:rPr>
          <w:rStyle w:val="nfasis"/>
          <w:rFonts w:ascii="Arial" w:hAnsi="Arial" w:cs="Arial"/>
          <w:i w:val="0"/>
          <w:sz w:val="24"/>
          <w:szCs w:val="24"/>
        </w:rPr>
        <w:t xml:space="preserve">lo anterior con el fin de identificar posibles efectos sinérgicos. Así, se adicionó en cada pozo de la microplaca 20 </w:t>
      </w:r>
      <w:r w:rsidRPr="006E5C8E">
        <w:rPr>
          <w:rFonts w:ascii="Arial" w:hAnsi="Arial" w:cs="Arial"/>
          <w:sz w:val="24"/>
          <w:szCs w:val="24"/>
        </w:rPr>
        <w:t>µL</w:t>
      </w:r>
      <w:r w:rsidRPr="006E5C8E">
        <w:rPr>
          <w:rStyle w:val="nfasis"/>
          <w:rFonts w:ascii="Arial" w:hAnsi="Arial" w:cs="Arial"/>
          <w:i w:val="0"/>
          <w:sz w:val="24"/>
          <w:szCs w:val="24"/>
        </w:rPr>
        <w:t xml:space="preserve"> de una mezcla que contenía AEC a una concentración de 1.5 % </w:t>
      </w:r>
      <w:r w:rsidR="00154DD2">
        <w:rPr>
          <w:rStyle w:val="nfasis"/>
          <w:rFonts w:ascii="Arial" w:hAnsi="Arial" w:cs="Arial"/>
          <w:i w:val="0"/>
          <w:sz w:val="24"/>
          <w:szCs w:val="24"/>
        </w:rPr>
        <w:t xml:space="preserve">y </w:t>
      </w:r>
      <w:r w:rsidRPr="006E5C8E">
        <w:rPr>
          <w:rStyle w:val="nfasis"/>
          <w:rFonts w:ascii="Arial" w:hAnsi="Arial" w:cs="Arial"/>
          <w:i w:val="0"/>
          <w:sz w:val="24"/>
          <w:szCs w:val="24"/>
        </w:rPr>
        <w:t xml:space="preserve">cada </w:t>
      </w:r>
      <w:r w:rsidR="00154DD2">
        <w:rPr>
          <w:rStyle w:val="nfasis"/>
          <w:rFonts w:ascii="Arial" w:hAnsi="Arial" w:cs="Arial"/>
          <w:i w:val="0"/>
          <w:sz w:val="24"/>
          <w:szCs w:val="24"/>
        </w:rPr>
        <w:t xml:space="preserve">uno de los </w:t>
      </w:r>
      <w:r w:rsidRPr="006E5C8E">
        <w:rPr>
          <w:rStyle w:val="nfasis"/>
          <w:rFonts w:ascii="Arial" w:hAnsi="Arial" w:cs="Arial"/>
          <w:i w:val="0"/>
          <w:sz w:val="24"/>
          <w:szCs w:val="24"/>
        </w:rPr>
        <w:t>veneno</w:t>
      </w:r>
      <w:r w:rsidR="00154DD2">
        <w:rPr>
          <w:rStyle w:val="nfasis"/>
          <w:rFonts w:ascii="Arial" w:hAnsi="Arial" w:cs="Arial"/>
          <w:i w:val="0"/>
          <w:sz w:val="24"/>
          <w:szCs w:val="24"/>
        </w:rPr>
        <w:t>s</w:t>
      </w:r>
      <w:r w:rsidRPr="006E5C8E">
        <w:rPr>
          <w:rStyle w:val="nfasis"/>
          <w:rFonts w:ascii="Arial" w:hAnsi="Arial" w:cs="Arial"/>
          <w:i w:val="0"/>
          <w:sz w:val="24"/>
          <w:szCs w:val="24"/>
        </w:rPr>
        <w:t xml:space="preserve"> </w:t>
      </w:r>
      <w:r w:rsidR="00154DD2">
        <w:rPr>
          <w:rStyle w:val="nfasis"/>
          <w:rFonts w:ascii="Arial" w:hAnsi="Arial" w:cs="Arial"/>
          <w:i w:val="0"/>
          <w:sz w:val="24"/>
          <w:szCs w:val="24"/>
        </w:rPr>
        <w:t>a</w:t>
      </w:r>
      <w:r w:rsidRPr="006E5C8E">
        <w:rPr>
          <w:rStyle w:val="nfasis"/>
          <w:rFonts w:ascii="Arial" w:hAnsi="Arial" w:cs="Arial"/>
          <w:i w:val="0"/>
          <w:sz w:val="24"/>
          <w:szCs w:val="24"/>
        </w:rPr>
        <w:t xml:space="preserve"> una concentración de 0.</w:t>
      </w:r>
      <w:r w:rsidR="0064568C">
        <w:rPr>
          <w:rStyle w:val="nfasis"/>
          <w:rFonts w:ascii="Arial" w:hAnsi="Arial" w:cs="Arial"/>
          <w:i w:val="0"/>
          <w:sz w:val="24"/>
          <w:szCs w:val="24"/>
        </w:rPr>
        <w:t>24</w:t>
      </w:r>
      <w:r w:rsidRPr="006E5C8E">
        <w:rPr>
          <w:rStyle w:val="nfasis"/>
          <w:rFonts w:ascii="Arial" w:hAnsi="Arial" w:cs="Arial"/>
          <w:i w:val="0"/>
          <w:sz w:val="24"/>
          <w:szCs w:val="24"/>
        </w:rPr>
        <w:t xml:space="preserve"> mg/mL</w:t>
      </w:r>
      <w:r w:rsidR="00154DD2">
        <w:rPr>
          <w:rStyle w:val="nfasis"/>
          <w:rFonts w:ascii="Arial" w:hAnsi="Arial" w:cs="Arial"/>
          <w:i w:val="0"/>
          <w:sz w:val="24"/>
          <w:szCs w:val="24"/>
        </w:rPr>
        <w:t xml:space="preserve">, </w:t>
      </w:r>
      <w:r w:rsidRPr="006E5C8E">
        <w:rPr>
          <w:rStyle w:val="nfasis"/>
          <w:rFonts w:ascii="Arial" w:hAnsi="Arial" w:cs="Arial"/>
          <w:i w:val="0"/>
          <w:sz w:val="24"/>
          <w:szCs w:val="24"/>
        </w:rPr>
        <w:t xml:space="preserve">se </w:t>
      </w:r>
      <w:r w:rsidR="00154DD2">
        <w:rPr>
          <w:rStyle w:val="nfasis"/>
          <w:rFonts w:ascii="Arial" w:hAnsi="Arial" w:cs="Arial"/>
          <w:i w:val="0"/>
          <w:sz w:val="24"/>
          <w:szCs w:val="24"/>
        </w:rPr>
        <w:t>ajustó</w:t>
      </w:r>
      <w:r w:rsidR="00154DD2" w:rsidRPr="006E5C8E">
        <w:rPr>
          <w:rStyle w:val="nfasis"/>
          <w:rFonts w:ascii="Arial" w:hAnsi="Arial" w:cs="Arial"/>
          <w:i w:val="0"/>
          <w:sz w:val="24"/>
          <w:szCs w:val="24"/>
        </w:rPr>
        <w:t xml:space="preserve"> </w:t>
      </w:r>
      <w:r w:rsidRPr="006E5C8E">
        <w:rPr>
          <w:rStyle w:val="nfasis"/>
          <w:rFonts w:ascii="Arial" w:hAnsi="Arial" w:cs="Arial"/>
          <w:i w:val="0"/>
          <w:sz w:val="24"/>
          <w:szCs w:val="24"/>
        </w:rPr>
        <w:t>a</w:t>
      </w:r>
      <w:r w:rsidR="00154DD2">
        <w:rPr>
          <w:rStyle w:val="nfasis"/>
          <w:rFonts w:ascii="Arial" w:hAnsi="Arial" w:cs="Arial"/>
          <w:i w:val="0"/>
          <w:sz w:val="24"/>
          <w:szCs w:val="24"/>
        </w:rPr>
        <w:t xml:space="preserve"> un</w:t>
      </w:r>
      <w:r w:rsidRPr="006E5C8E">
        <w:rPr>
          <w:rStyle w:val="nfasis"/>
          <w:rFonts w:ascii="Arial" w:hAnsi="Arial" w:cs="Arial"/>
          <w:i w:val="0"/>
          <w:sz w:val="24"/>
          <w:szCs w:val="24"/>
        </w:rPr>
        <w:t xml:space="preserve"> volumen de 200</w:t>
      </w:r>
      <w:r w:rsidRPr="006E5C8E">
        <w:rPr>
          <w:sz w:val="24"/>
          <w:szCs w:val="24"/>
        </w:rPr>
        <w:t xml:space="preserve"> </w:t>
      </w:r>
      <w:r w:rsidRPr="006E5C8E">
        <w:rPr>
          <w:rStyle w:val="nfasis"/>
          <w:rFonts w:ascii="Arial" w:hAnsi="Arial" w:cs="Arial"/>
          <w:i w:val="0"/>
          <w:sz w:val="24"/>
          <w:szCs w:val="24"/>
        </w:rPr>
        <w:t xml:space="preserve">µL con el medio de cultivo y </w:t>
      </w:r>
      <w:r w:rsidR="00154DD2">
        <w:rPr>
          <w:rStyle w:val="nfasis"/>
          <w:rFonts w:ascii="Arial" w:hAnsi="Arial" w:cs="Arial"/>
          <w:i w:val="0"/>
          <w:sz w:val="24"/>
          <w:szCs w:val="24"/>
        </w:rPr>
        <w:t>se continuo con el procedimiento según lo descrito previamente.</w:t>
      </w:r>
    </w:p>
    <w:p w14:paraId="6B0E4412" w14:textId="77777777" w:rsidR="00C54ECF" w:rsidRPr="006E5C8E" w:rsidRDefault="00C54ECF" w:rsidP="002B16A3">
      <w:pPr>
        <w:spacing w:after="0" w:line="276" w:lineRule="auto"/>
        <w:jc w:val="both"/>
        <w:rPr>
          <w:rFonts w:ascii="Arial" w:hAnsi="Arial" w:cs="Arial"/>
          <w:b/>
          <w:sz w:val="24"/>
          <w:szCs w:val="24"/>
        </w:rPr>
      </w:pPr>
    </w:p>
    <w:p w14:paraId="01FD07C6" w14:textId="5C134A17" w:rsidR="00C27062" w:rsidRPr="006E5C8E" w:rsidRDefault="00C27062" w:rsidP="002B16A3">
      <w:pPr>
        <w:spacing w:after="0" w:line="276" w:lineRule="auto"/>
        <w:jc w:val="both"/>
        <w:rPr>
          <w:rFonts w:ascii="Arial" w:hAnsi="Arial" w:cs="Arial"/>
          <w:b/>
          <w:sz w:val="24"/>
          <w:szCs w:val="24"/>
        </w:rPr>
      </w:pPr>
      <w:r w:rsidRPr="006E5C8E">
        <w:rPr>
          <w:rFonts w:ascii="Arial" w:hAnsi="Arial" w:cs="Arial"/>
          <w:b/>
          <w:sz w:val="24"/>
          <w:szCs w:val="24"/>
        </w:rPr>
        <w:t>Análisis estadístico</w:t>
      </w:r>
    </w:p>
    <w:p w14:paraId="402A2BC3" w14:textId="2EF335AC" w:rsidR="00C27062" w:rsidRPr="006E5C8E" w:rsidRDefault="00C27062" w:rsidP="002B16A3">
      <w:pPr>
        <w:spacing w:after="0" w:line="276" w:lineRule="auto"/>
        <w:jc w:val="both"/>
        <w:rPr>
          <w:rFonts w:ascii="Arial" w:hAnsi="Arial" w:cs="Arial"/>
          <w:sz w:val="24"/>
          <w:szCs w:val="24"/>
        </w:rPr>
      </w:pPr>
      <w:r w:rsidRPr="006E5C8E">
        <w:rPr>
          <w:rFonts w:ascii="Arial" w:hAnsi="Arial" w:cs="Arial"/>
          <w:sz w:val="24"/>
          <w:szCs w:val="24"/>
        </w:rPr>
        <w:t>Los resultados obtenidos fueron evaluados estadísticamente empleando el software Stagraphics® Centurion XV (Virginia, EE. UU.). Los valores se expresaron como la media ± desviación estándar. Las diferencias entre las medias se identificaron mediante un análisis de varianza (ANOVA), seguido un test HSD (Honestly-significant-difference) de Tukey, con un nivel de significación de 0,05 (95% de confianza).</w:t>
      </w:r>
    </w:p>
    <w:p w14:paraId="71B6C299" w14:textId="77777777" w:rsidR="00C27062" w:rsidRPr="006E5C8E" w:rsidRDefault="00C27062" w:rsidP="002B16A3">
      <w:pPr>
        <w:spacing w:after="0" w:line="276" w:lineRule="auto"/>
        <w:rPr>
          <w:rFonts w:ascii="Arial" w:hAnsi="Arial" w:cs="Arial"/>
          <w:b/>
          <w:sz w:val="24"/>
          <w:szCs w:val="24"/>
        </w:rPr>
      </w:pPr>
    </w:p>
    <w:p w14:paraId="76602D62" w14:textId="1AEECCCC" w:rsidR="00E71CFF" w:rsidRPr="006E5C8E" w:rsidRDefault="00E71CFF" w:rsidP="002B16A3">
      <w:pPr>
        <w:spacing w:after="0" w:line="276" w:lineRule="auto"/>
        <w:rPr>
          <w:rFonts w:ascii="Arial" w:hAnsi="Arial" w:cs="Arial"/>
          <w:b/>
          <w:sz w:val="24"/>
          <w:szCs w:val="24"/>
        </w:rPr>
      </w:pPr>
      <w:r w:rsidRPr="006E5C8E">
        <w:rPr>
          <w:rFonts w:ascii="Arial" w:hAnsi="Arial" w:cs="Arial"/>
          <w:b/>
          <w:sz w:val="24"/>
          <w:szCs w:val="24"/>
        </w:rPr>
        <w:t>RESULTADOS</w:t>
      </w:r>
      <w:r w:rsidR="00154DD2">
        <w:rPr>
          <w:rFonts w:ascii="Arial" w:hAnsi="Arial" w:cs="Arial"/>
          <w:b/>
          <w:sz w:val="24"/>
          <w:szCs w:val="24"/>
        </w:rPr>
        <w:t xml:space="preserve"> Y DISCUSIÓN</w:t>
      </w:r>
    </w:p>
    <w:p w14:paraId="65C7F696" w14:textId="77777777" w:rsidR="00C27062" w:rsidRPr="006E5C8E" w:rsidRDefault="00C27062" w:rsidP="002B16A3">
      <w:pPr>
        <w:spacing w:after="0" w:line="276" w:lineRule="auto"/>
        <w:jc w:val="both"/>
        <w:rPr>
          <w:rFonts w:ascii="Arial" w:hAnsi="Arial" w:cs="Arial"/>
          <w:sz w:val="24"/>
          <w:szCs w:val="24"/>
        </w:rPr>
      </w:pPr>
    </w:p>
    <w:p w14:paraId="6C4AAC7E" w14:textId="7AF6931F" w:rsidR="00106CB0" w:rsidRDefault="00154DD2" w:rsidP="002B16A3">
      <w:pPr>
        <w:spacing w:after="0" w:line="276" w:lineRule="auto"/>
        <w:jc w:val="both"/>
        <w:rPr>
          <w:rFonts w:ascii="Arial" w:hAnsi="Arial" w:cs="Arial"/>
          <w:sz w:val="24"/>
          <w:szCs w:val="24"/>
        </w:rPr>
      </w:pPr>
      <w:r>
        <w:rPr>
          <w:rFonts w:ascii="Arial" w:hAnsi="Arial" w:cs="Arial"/>
          <w:sz w:val="24"/>
          <w:szCs w:val="24"/>
        </w:rPr>
        <w:t xml:space="preserve">El AEC mostro actividad antimicrobiana dosis dependiente sobre </w:t>
      </w:r>
      <w:r w:rsidRPr="00E83FC1">
        <w:rPr>
          <w:rFonts w:ascii="Arial" w:hAnsi="Arial" w:cs="Arial"/>
          <w:i/>
          <w:iCs/>
          <w:sz w:val="24"/>
          <w:szCs w:val="24"/>
        </w:rPr>
        <w:t>Pectobacterium</w:t>
      </w:r>
      <w:r>
        <w:rPr>
          <w:rFonts w:ascii="Arial" w:hAnsi="Arial" w:cs="Arial"/>
          <w:sz w:val="24"/>
          <w:szCs w:val="24"/>
        </w:rPr>
        <w:t xml:space="preserve"> sp y</w:t>
      </w:r>
      <w:r w:rsidRPr="00154DD2">
        <w:rPr>
          <w:rFonts w:ascii="Arial" w:hAnsi="Arial" w:cs="Arial"/>
          <w:i/>
          <w:iCs/>
          <w:sz w:val="24"/>
          <w:szCs w:val="24"/>
        </w:rPr>
        <w:t xml:space="preserve"> </w:t>
      </w:r>
      <w:r w:rsidRPr="006E5C8E">
        <w:rPr>
          <w:rFonts w:ascii="Arial" w:hAnsi="Arial" w:cs="Arial"/>
          <w:i/>
          <w:iCs/>
          <w:sz w:val="24"/>
          <w:szCs w:val="24"/>
        </w:rPr>
        <w:t>Xanthomonas campestris</w:t>
      </w:r>
      <w:r>
        <w:rPr>
          <w:rFonts w:ascii="Arial" w:hAnsi="Arial" w:cs="Arial"/>
          <w:i/>
          <w:iCs/>
          <w:sz w:val="24"/>
          <w:szCs w:val="24"/>
        </w:rPr>
        <w:t xml:space="preserve"> (Figura 1)</w:t>
      </w:r>
      <w:r w:rsidR="00106CB0">
        <w:rPr>
          <w:rFonts w:ascii="Arial" w:hAnsi="Arial" w:cs="Arial"/>
          <w:i/>
          <w:iCs/>
          <w:sz w:val="24"/>
          <w:szCs w:val="24"/>
        </w:rPr>
        <w:t xml:space="preserve"> </w:t>
      </w:r>
      <w:r w:rsidR="00106CB0">
        <w:rPr>
          <w:rFonts w:ascii="Arial" w:hAnsi="Arial" w:cs="Arial"/>
          <w:sz w:val="24"/>
          <w:szCs w:val="24"/>
        </w:rPr>
        <w:t>siendo mayor el efecto sobre esta última</w:t>
      </w:r>
      <w:r>
        <w:rPr>
          <w:rFonts w:ascii="Arial" w:hAnsi="Arial" w:cs="Arial"/>
          <w:i/>
          <w:iCs/>
          <w:sz w:val="24"/>
          <w:szCs w:val="24"/>
        </w:rPr>
        <w:t xml:space="preserve">. </w:t>
      </w:r>
      <w:r>
        <w:rPr>
          <w:rFonts w:ascii="Arial" w:hAnsi="Arial" w:cs="Arial"/>
          <w:sz w:val="24"/>
          <w:szCs w:val="24"/>
        </w:rPr>
        <w:t xml:space="preserve"> El efecto fue observado </w:t>
      </w:r>
      <w:r w:rsidR="00AC0CBC" w:rsidRPr="00AC0CBC">
        <w:rPr>
          <w:rFonts w:ascii="Arial" w:hAnsi="Arial" w:cs="Arial"/>
          <w:sz w:val="24"/>
          <w:szCs w:val="24"/>
        </w:rPr>
        <w:t xml:space="preserve">tanto diluido en </w:t>
      </w:r>
      <w:r w:rsidR="00AC0CBC">
        <w:rPr>
          <w:rFonts w:ascii="Arial" w:hAnsi="Arial" w:cs="Arial"/>
          <w:sz w:val="24"/>
          <w:szCs w:val="24"/>
        </w:rPr>
        <w:t>DMSO</w:t>
      </w:r>
      <w:r w:rsidR="00AC0CBC" w:rsidRPr="00AC0CBC">
        <w:rPr>
          <w:rFonts w:ascii="Arial" w:hAnsi="Arial" w:cs="Arial"/>
          <w:sz w:val="24"/>
          <w:szCs w:val="24"/>
        </w:rPr>
        <w:t xml:space="preserve"> (E)</w:t>
      </w:r>
      <w:r w:rsidR="00106CB0">
        <w:rPr>
          <w:rFonts w:ascii="Arial" w:hAnsi="Arial" w:cs="Arial"/>
          <w:sz w:val="24"/>
          <w:szCs w:val="24"/>
        </w:rPr>
        <w:t xml:space="preserve"> </w:t>
      </w:r>
      <w:r w:rsidR="00AC0CBC" w:rsidRPr="00AC0CBC">
        <w:rPr>
          <w:rFonts w:ascii="Arial" w:hAnsi="Arial" w:cs="Arial"/>
          <w:sz w:val="24"/>
          <w:szCs w:val="24"/>
        </w:rPr>
        <w:t>como incorporado a la solución filmogénica para biopelícula (PE)</w:t>
      </w:r>
      <w:r w:rsidR="00106CB0">
        <w:rPr>
          <w:rFonts w:ascii="Arial" w:hAnsi="Arial" w:cs="Arial"/>
          <w:sz w:val="24"/>
          <w:szCs w:val="24"/>
        </w:rPr>
        <w:t>, con IC50 similares para ambas bacterias (Tabla 1)</w:t>
      </w:r>
      <w:r w:rsidR="00AC0CBC" w:rsidRPr="00AC0CBC">
        <w:rPr>
          <w:rFonts w:ascii="Arial" w:hAnsi="Arial" w:cs="Arial"/>
          <w:sz w:val="24"/>
          <w:szCs w:val="24"/>
        </w:rPr>
        <w:t xml:space="preserve">. </w:t>
      </w:r>
      <w:r w:rsidR="00106CB0" w:rsidRPr="006E5C8E">
        <w:rPr>
          <w:rFonts w:ascii="Arial" w:hAnsi="Arial" w:cs="Arial"/>
          <w:sz w:val="24"/>
          <w:szCs w:val="24"/>
        </w:rPr>
        <w:t xml:space="preserve">Estos resultados sugieren que la solución filmogénica no modifica la actividad antibacteriana de la citronela frente a las dos bacterias evaluadas, lo que demuestra la viabilidad de utilizar estas biopelículas como un medio de aplicación del biocompuesto. </w:t>
      </w:r>
    </w:p>
    <w:p w14:paraId="595D78E2" w14:textId="77777777" w:rsidR="00E83FC1" w:rsidRDefault="00E83FC1" w:rsidP="002B16A3">
      <w:pPr>
        <w:spacing w:after="0" w:line="276" w:lineRule="auto"/>
        <w:jc w:val="both"/>
        <w:rPr>
          <w:rFonts w:ascii="Arial" w:hAnsi="Arial" w:cs="Arial"/>
          <w:sz w:val="24"/>
          <w:szCs w:val="24"/>
        </w:rPr>
      </w:pPr>
    </w:p>
    <w:p w14:paraId="216A0F92" w14:textId="593174DF" w:rsidR="00C27062" w:rsidRDefault="00B90EFF" w:rsidP="002B16A3">
      <w:pPr>
        <w:spacing w:after="0" w:line="276" w:lineRule="auto"/>
        <w:jc w:val="both"/>
        <w:rPr>
          <w:rFonts w:ascii="Arial" w:hAnsi="Arial" w:cs="Arial"/>
          <w:iCs/>
          <w:sz w:val="24"/>
          <w:szCs w:val="24"/>
        </w:rPr>
      </w:pPr>
      <w:r w:rsidRPr="00121F06">
        <w:rPr>
          <w:rFonts w:ascii="Arial" w:hAnsi="Arial" w:cs="Arial"/>
          <w:sz w:val="24"/>
          <w:szCs w:val="24"/>
        </w:rPr>
        <w:t xml:space="preserve">Estudios previos señalan que el AEC actúa mediante </w:t>
      </w:r>
      <w:r>
        <w:rPr>
          <w:rFonts w:ascii="Arial" w:hAnsi="Arial" w:cs="Arial"/>
          <w:sz w:val="24"/>
          <w:szCs w:val="24"/>
        </w:rPr>
        <w:t>desestabilización</w:t>
      </w:r>
      <w:r w:rsidR="005E5401" w:rsidRPr="006E5C8E">
        <w:rPr>
          <w:rFonts w:ascii="Arial" w:hAnsi="Arial" w:cs="Arial"/>
          <w:iCs/>
          <w:sz w:val="24"/>
          <w:szCs w:val="24"/>
        </w:rPr>
        <w:t xml:space="preserve"> de las membranas celulares (</w:t>
      </w:r>
      <w:r w:rsidRPr="00121F06">
        <w:rPr>
          <w:rFonts w:ascii="Arial" w:hAnsi="Arial" w:cs="Arial"/>
          <w:sz w:val="24"/>
          <w:szCs w:val="24"/>
        </w:rPr>
        <w:t>descrito principalmente en hongos</w:t>
      </w:r>
      <w:r w:rsidR="005E5401" w:rsidRPr="006E5C8E">
        <w:rPr>
          <w:rFonts w:ascii="Arial" w:hAnsi="Arial" w:cs="Arial"/>
          <w:iCs/>
          <w:sz w:val="24"/>
          <w:szCs w:val="24"/>
        </w:rPr>
        <w:t xml:space="preserve">), inhibición de la biosíntesis del ergosterol </w:t>
      </w:r>
      <w:r>
        <w:rPr>
          <w:rFonts w:ascii="Arial" w:hAnsi="Arial" w:cs="Arial"/>
          <w:iCs/>
          <w:sz w:val="24"/>
          <w:szCs w:val="24"/>
        </w:rPr>
        <w:t>e</w:t>
      </w:r>
      <w:r w:rsidR="005E5401" w:rsidRPr="006E5C8E">
        <w:rPr>
          <w:rFonts w:ascii="Arial" w:hAnsi="Arial" w:cs="Arial"/>
          <w:iCs/>
          <w:sz w:val="24"/>
          <w:szCs w:val="24"/>
        </w:rPr>
        <w:t xml:space="preserve"> inducción de las enzimas de defensa de las plantas, que en conjunto contribuyen a</w:t>
      </w:r>
      <w:r w:rsidR="00106CB0">
        <w:rPr>
          <w:rFonts w:ascii="Arial" w:hAnsi="Arial" w:cs="Arial"/>
          <w:iCs/>
          <w:sz w:val="24"/>
          <w:szCs w:val="24"/>
        </w:rPr>
        <w:t xml:space="preserve">l efecto antimicrobiano </w:t>
      </w:r>
      <w:r w:rsidR="005E5401" w:rsidRPr="006E5C8E">
        <w:rPr>
          <w:rFonts w:ascii="Arial" w:hAnsi="Arial" w:cs="Arial"/>
          <w:iCs/>
          <w:sz w:val="24"/>
          <w:szCs w:val="24"/>
        </w:rPr>
        <w:t>(Mao y de</w:t>
      </w:r>
      <w:r w:rsidR="00106CB0">
        <w:rPr>
          <w:rFonts w:ascii="Arial" w:hAnsi="Arial" w:cs="Arial"/>
          <w:iCs/>
          <w:sz w:val="24"/>
          <w:szCs w:val="24"/>
        </w:rPr>
        <w:t xml:space="preserve"> </w:t>
      </w:r>
      <w:r w:rsidR="005E5401" w:rsidRPr="006E5C8E">
        <w:rPr>
          <w:rFonts w:ascii="Arial" w:hAnsi="Arial" w:cs="Arial"/>
          <w:iCs/>
          <w:sz w:val="24"/>
          <w:szCs w:val="24"/>
        </w:rPr>
        <w:t>la Cueva, 2019; Zhou et al., 2022).</w:t>
      </w:r>
    </w:p>
    <w:p w14:paraId="7CE41539" w14:textId="3F64B903" w:rsidR="00C27062" w:rsidRPr="006E5C8E" w:rsidRDefault="00C27062" w:rsidP="002B16A3">
      <w:pPr>
        <w:spacing w:after="0" w:line="276" w:lineRule="auto"/>
        <w:rPr>
          <w:rFonts w:ascii="Arial" w:hAnsi="Arial" w:cs="Arial"/>
          <w:sz w:val="24"/>
          <w:szCs w:val="24"/>
        </w:rPr>
      </w:pPr>
    </w:p>
    <w:p w14:paraId="550F2CF5" w14:textId="0F3B3A8C" w:rsidR="00C27062" w:rsidRPr="006E5C8E" w:rsidRDefault="005347F4" w:rsidP="002B16A3">
      <w:pPr>
        <w:spacing w:after="0" w:line="276" w:lineRule="auto"/>
        <w:jc w:val="center"/>
        <w:rPr>
          <w:rFonts w:ascii="Arial" w:hAnsi="Arial" w:cs="Arial"/>
          <w:sz w:val="24"/>
          <w:szCs w:val="24"/>
        </w:rPr>
      </w:pPr>
      <w:r>
        <w:rPr>
          <w:noProof/>
        </w:rPr>
        <w:drawing>
          <wp:inline distT="0" distB="0" distL="0" distR="0" wp14:anchorId="6E41C401" wp14:editId="595F3297">
            <wp:extent cx="5334000" cy="3390900"/>
            <wp:effectExtent l="0" t="0" r="0" b="0"/>
            <wp:docPr id="567846169" name="Gráfico 1">
              <a:extLst xmlns:a="http://schemas.openxmlformats.org/drawingml/2006/main">
                <a:ext uri="{FF2B5EF4-FFF2-40B4-BE49-F238E27FC236}">
                  <a16:creationId xmlns:a16="http://schemas.microsoft.com/office/drawing/2014/main" id="{3D75DB16-B37D-43A5-9AB6-0B8D5D037D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3C9995" w14:textId="01D3FA1C" w:rsidR="00C27062" w:rsidRDefault="00C27062" w:rsidP="002B16A3">
      <w:pPr>
        <w:spacing w:after="0" w:line="276" w:lineRule="auto"/>
        <w:rPr>
          <w:rFonts w:ascii="Arial" w:hAnsi="Arial" w:cs="Arial"/>
          <w:sz w:val="24"/>
          <w:szCs w:val="24"/>
        </w:rPr>
      </w:pPr>
      <w:r w:rsidRPr="006E5C8E">
        <w:rPr>
          <w:rFonts w:ascii="Arial" w:hAnsi="Arial" w:cs="Arial"/>
          <w:sz w:val="24"/>
          <w:szCs w:val="24"/>
        </w:rPr>
        <w:t xml:space="preserve">Figura 1. Actividad antibacteriana </w:t>
      </w:r>
      <w:r w:rsidR="00E83FC1">
        <w:rPr>
          <w:rFonts w:ascii="Arial" w:hAnsi="Arial" w:cs="Arial"/>
          <w:sz w:val="24"/>
          <w:szCs w:val="24"/>
        </w:rPr>
        <w:t>del AEC diluido en la solución filmogénica</w:t>
      </w:r>
      <w:r w:rsidRPr="006E5C8E">
        <w:rPr>
          <w:rFonts w:ascii="Arial" w:hAnsi="Arial" w:cs="Arial"/>
          <w:sz w:val="24"/>
          <w:szCs w:val="24"/>
        </w:rPr>
        <w:t xml:space="preserve"> (PE) y diluido en DMSO (E).</w:t>
      </w:r>
    </w:p>
    <w:p w14:paraId="51A87D45" w14:textId="0B326A40" w:rsidR="004E6398" w:rsidRPr="004E6398" w:rsidRDefault="004E6398" w:rsidP="002B16A3">
      <w:pPr>
        <w:spacing w:after="0" w:line="276" w:lineRule="auto"/>
        <w:rPr>
          <w:rFonts w:ascii="Arial" w:hAnsi="Arial" w:cs="Arial"/>
          <w:sz w:val="24"/>
          <w:szCs w:val="24"/>
        </w:rPr>
      </w:pPr>
      <w:r w:rsidRPr="004E6398">
        <w:rPr>
          <w:rFonts w:ascii="Arial" w:hAnsi="Arial" w:cs="Arial"/>
          <w:sz w:val="24"/>
          <w:szCs w:val="24"/>
          <w:vertAlign w:val="superscript"/>
        </w:rPr>
        <w:t>a-</w:t>
      </w:r>
      <w:r>
        <w:rPr>
          <w:rFonts w:ascii="Arial" w:hAnsi="Arial" w:cs="Arial"/>
          <w:sz w:val="24"/>
          <w:szCs w:val="24"/>
          <w:vertAlign w:val="superscript"/>
        </w:rPr>
        <w:t>h</w:t>
      </w:r>
      <w:r w:rsidRPr="004E6398">
        <w:rPr>
          <w:rFonts w:ascii="Arial" w:hAnsi="Arial" w:cs="Arial"/>
          <w:sz w:val="24"/>
          <w:szCs w:val="24"/>
        </w:rPr>
        <w:t xml:space="preserve"> Diferentes letras indican diferencias </w:t>
      </w:r>
      <w:r>
        <w:rPr>
          <w:rFonts w:ascii="Arial" w:hAnsi="Arial" w:cs="Arial"/>
          <w:sz w:val="24"/>
          <w:szCs w:val="24"/>
        </w:rPr>
        <w:t xml:space="preserve">estadísticamente significativas </w:t>
      </w:r>
      <w:r w:rsidRPr="004E6398">
        <w:rPr>
          <w:rFonts w:ascii="Arial" w:hAnsi="Arial" w:cs="Arial"/>
          <w:sz w:val="24"/>
          <w:szCs w:val="24"/>
        </w:rPr>
        <w:t>(p &lt;</w:t>
      </w:r>
      <w:r>
        <w:rPr>
          <w:rFonts w:ascii="Arial" w:hAnsi="Arial" w:cs="Arial"/>
          <w:sz w:val="24"/>
          <w:szCs w:val="24"/>
        </w:rPr>
        <w:t xml:space="preserve"> 0,05)</w:t>
      </w:r>
    </w:p>
    <w:p w14:paraId="5619FE4A" w14:textId="77777777" w:rsidR="00C27062" w:rsidRPr="006E5C8E" w:rsidRDefault="00C27062" w:rsidP="002B16A3">
      <w:pPr>
        <w:spacing w:after="0" w:line="276" w:lineRule="auto"/>
        <w:rPr>
          <w:rFonts w:ascii="Arial" w:hAnsi="Arial" w:cs="Arial"/>
          <w:sz w:val="24"/>
          <w:szCs w:val="24"/>
        </w:rPr>
      </w:pPr>
    </w:p>
    <w:p w14:paraId="3E3D37C5" w14:textId="77777777" w:rsidR="00C27062" w:rsidRPr="006E5C8E" w:rsidRDefault="00C27062" w:rsidP="002B16A3">
      <w:pPr>
        <w:spacing w:after="0" w:line="276" w:lineRule="auto"/>
        <w:rPr>
          <w:rFonts w:ascii="Arial" w:hAnsi="Arial" w:cs="Arial"/>
          <w:sz w:val="24"/>
          <w:szCs w:val="24"/>
        </w:rPr>
      </w:pPr>
      <w:r w:rsidRPr="006E5C8E">
        <w:rPr>
          <w:rFonts w:ascii="Arial" w:hAnsi="Arial" w:cs="Arial"/>
          <w:sz w:val="24"/>
          <w:szCs w:val="24"/>
        </w:rPr>
        <w:t>Tabla 1. IC</w:t>
      </w:r>
      <w:r w:rsidRPr="008D401A">
        <w:rPr>
          <w:rFonts w:ascii="Arial" w:hAnsi="Arial" w:cs="Arial"/>
          <w:sz w:val="24"/>
          <w:szCs w:val="24"/>
          <w:vertAlign w:val="subscript"/>
        </w:rPr>
        <w:t>50</w:t>
      </w:r>
      <w:r w:rsidRPr="006E5C8E">
        <w:rPr>
          <w:rFonts w:ascii="Arial" w:hAnsi="Arial" w:cs="Arial"/>
          <w:sz w:val="24"/>
          <w:szCs w:val="24"/>
        </w:rPr>
        <w:t xml:space="preserve"> de la biopelícula funcionalizada con aceite esencial de citronela y del aceite esencial diluido en DMSO</w:t>
      </w:r>
    </w:p>
    <w:tbl>
      <w:tblPr>
        <w:tblW w:w="5830" w:type="dxa"/>
        <w:jc w:val="center"/>
        <w:tblBorders>
          <w:bottom w:val="single" w:sz="4" w:space="0" w:color="auto"/>
        </w:tblBorders>
        <w:tblCellMar>
          <w:left w:w="70" w:type="dxa"/>
          <w:right w:w="70" w:type="dxa"/>
        </w:tblCellMar>
        <w:tblLook w:val="04A0" w:firstRow="1" w:lastRow="0" w:firstColumn="1" w:lastColumn="0" w:noHBand="0" w:noVBand="1"/>
      </w:tblPr>
      <w:tblGrid>
        <w:gridCol w:w="1808"/>
        <w:gridCol w:w="2178"/>
        <w:gridCol w:w="2122"/>
      </w:tblGrid>
      <w:tr w:rsidR="00C27062" w:rsidRPr="006E5C8E" w14:paraId="54C7380D" w14:textId="77777777" w:rsidTr="00C54ECF">
        <w:trPr>
          <w:trHeight w:val="300"/>
          <w:jc w:val="center"/>
        </w:trPr>
        <w:tc>
          <w:tcPr>
            <w:tcW w:w="1530" w:type="dxa"/>
            <w:vMerge w:val="restart"/>
            <w:tcBorders>
              <w:top w:val="single" w:sz="4" w:space="0" w:color="auto"/>
              <w:bottom w:val="nil"/>
            </w:tcBorders>
            <w:noWrap/>
            <w:vAlign w:val="center"/>
            <w:hideMark/>
          </w:tcPr>
          <w:p w14:paraId="4D916711" w14:textId="77777777" w:rsidR="00C27062" w:rsidRPr="006E5C8E" w:rsidRDefault="00C27062" w:rsidP="002B16A3">
            <w:pPr>
              <w:spacing w:after="0" w:line="276" w:lineRule="auto"/>
              <w:jc w:val="center"/>
              <w:rPr>
                <w:rFonts w:ascii="Arial" w:eastAsia="Times New Roman" w:hAnsi="Arial" w:cs="Arial"/>
                <w:sz w:val="24"/>
                <w:szCs w:val="24"/>
                <w:lang w:eastAsia="es-CO"/>
              </w:rPr>
            </w:pPr>
            <w:r w:rsidRPr="006E5C8E">
              <w:rPr>
                <w:rFonts w:ascii="Arial" w:eastAsia="Times New Roman" w:hAnsi="Arial" w:cs="Arial"/>
                <w:sz w:val="24"/>
                <w:szCs w:val="24"/>
                <w:lang w:eastAsia="es-CO"/>
              </w:rPr>
              <w:t>Microrganismo</w:t>
            </w:r>
          </w:p>
        </w:tc>
        <w:tc>
          <w:tcPr>
            <w:tcW w:w="4300" w:type="dxa"/>
            <w:gridSpan w:val="2"/>
            <w:tcBorders>
              <w:top w:val="single" w:sz="4" w:space="0" w:color="auto"/>
              <w:bottom w:val="single" w:sz="4" w:space="0" w:color="auto"/>
            </w:tcBorders>
            <w:vAlign w:val="center"/>
            <w:hideMark/>
          </w:tcPr>
          <w:p w14:paraId="5E2BE398" w14:textId="77777777" w:rsidR="00C27062" w:rsidRPr="006E5C8E" w:rsidRDefault="00C27062" w:rsidP="002B16A3">
            <w:pPr>
              <w:spacing w:after="0" w:line="276" w:lineRule="auto"/>
              <w:jc w:val="center"/>
              <w:rPr>
                <w:rFonts w:ascii="Arial" w:eastAsia="Times New Roman" w:hAnsi="Arial" w:cs="Arial"/>
                <w:sz w:val="24"/>
                <w:szCs w:val="24"/>
                <w:lang w:eastAsia="es-CO"/>
              </w:rPr>
            </w:pPr>
            <w:r w:rsidRPr="006E5C8E">
              <w:rPr>
                <w:rFonts w:ascii="Arial" w:eastAsia="Times New Roman" w:hAnsi="Arial" w:cs="Arial"/>
                <w:sz w:val="24"/>
                <w:szCs w:val="24"/>
                <w:lang w:eastAsia="es-CO"/>
              </w:rPr>
              <w:t>IC 50 (%)</w:t>
            </w:r>
          </w:p>
        </w:tc>
      </w:tr>
      <w:tr w:rsidR="00C27062" w:rsidRPr="006E5C8E" w14:paraId="71343681" w14:textId="77777777" w:rsidTr="00C54ECF">
        <w:trPr>
          <w:trHeight w:val="300"/>
          <w:jc w:val="center"/>
        </w:trPr>
        <w:tc>
          <w:tcPr>
            <w:tcW w:w="1530" w:type="dxa"/>
            <w:vMerge/>
            <w:tcBorders>
              <w:bottom w:val="single" w:sz="4" w:space="0" w:color="auto"/>
            </w:tcBorders>
            <w:vAlign w:val="center"/>
            <w:hideMark/>
          </w:tcPr>
          <w:p w14:paraId="79BE31E5" w14:textId="77777777" w:rsidR="00C27062" w:rsidRPr="006E5C8E" w:rsidRDefault="00C27062" w:rsidP="002B16A3">
            <w:pPr>
              <w:spacing w:after="0" w:line="276" w:lineRule="auto"/>
              <w:jc w:val="center"/>
              <w:rPr>
                <w:rFonts w:ascii="Arial" w:eastAsia="Times New Roman" w:hAnsi="Arial" w:cs="Arial"/>
                <w:sz w:val="24"/>
                <w:szCs w:val="24"/>
                <w:lang w:eastAsia="es-CO"/>
              </w:rPr>
            </w:pPr>
          </w:p>
        </w:tc>
        <w:tc>
          <w:tcPr>
            <w:tcW w:w="2178" w:type="dxa"/>
            <w:tcBorders>
              <w:top w:val="single" w:sz="4" w:space="0" w:color="auto"/>
              <w:bottom w:val="single" w:sz="4" w:space="0" w:color="auto"/>
            </w:tcBorders>
            <w:vAlign w:val="center"/>
            <w:hideMark/>
          </w:tcPr>
          <w:p w14:paraId="108D22F8" w14:textId="4E287E33" w:rsidR="00C27062" w:rsidRPr="006E5C8E" w:rsidRDefault="00C27062" w:rsidP="002B16A3">
            <w:pPr>
              <w:spacing w:after="0" w:line="276" w:lineRule="auto"/>
              <w:jc w:val="center"/>
              <w:rPr>
                <w:rFonts w:ascii="Arial" w:eastAsia="Times New Roman" w:hAnsi="Arial" w:cs="Arial"/>
                <w:sz w:val="24"/>
                <w:szCs w:val="24"/>
                <w:lang w:eastAsia="es-CO"/>
              </w:rPr>
            </w:pPr>
            <w:r w:rsidRPr="006E5C8E">
              <w:rPr>
                <w:rFonts w:ascii="Arial" w:eastAsia="Times New Roman" w:hAnsi="Arial" w:cs="Arial"/>
                <w:sz w:val="24"/>
                <w:szCs w:val="24"/>
                <w:lang w:eastAsia="es-CO"/>
              </w:rPr>
              <w:t>Aceite esencial en biopelícula</w:t>
            </w:r>
            <w:r w:rsidR="004E6398">
              <w:rPr>
                <w:rFonts w:ascii="Arial" w:eastAsia="Times New Roman" w:hAnsi="Arial" w:cs="Arial"/>
                <w:sz w:val="24"/>
                <w:szCs w:val="24"/>
                <w:lang w:eastAsia="es-CO"/>
              </w:rPr>
              <w:t xml:space="preserve"> (mg/mL)</w:t>
            </w:r>
          </w:p>
        </w:tc>
        <w:tc>
          <w:tcPr>
            <w:tcW w:w="2122" w:type="dxa"/>
            <w:tcBorders>
              <w:top w:val="single" w:sz="4" w:space="0" w:color="auto"/>
              <w:bottom w:val="single" w:sz="4" w:space="0" w:color="auto"/>
            </w:tcBorders>
            <w:vAlign w:val="center"/>
            <w:hideMark/>
          </w:tcPr>
          <w:p w14:paraId="1183327A" w14:textId="025BC717" w:rsidR="00C27062" w:rsidRPr="006E5C8E" w:rsidRDefault="00C27062" w:rsidP="002B16A3">
            <w:pPr>
              <w:spacing w:after="0" w:line="276" w:lineRule="auto"/>
              <w:jc w:val="center"/>
              <w:rPr>
                <w:rFonts w:ascii="Arial" w:eastAsia="Times New Roman" w:hAnsi="Arial" w:cs="Arial"/>
                <w:sz w:val="24"/>
                <w:szCs w:val="24"/>
                <w:lang w:eastAsia="es-CO"/>
              </w:rPr>
            </w:pPr>
            <w:r w:rsidRPr="006E5C8E">
              <w:rPr>
                <w:rFonts w:ascii="Arial" w:eastAsia="Times New Roman" w:hAnsi="Arial" w:cs="Arial"/>
                <w:sz w:val="24"/>
                <w:szCs w:val="24"/>
                <w:lang w:eastAsia="es-CO"/>
              </w:rPr>
              <w:t>Aceite esencial en DMSO</w:t>
            </w:r>
            <w:r w:rsidR="004E6398">
              <w:rPr>
                <w:rFonts w:ascii="Arial" w:eastAsia="Times New Roman" w:hAnsi="Arial" w:cs="Arial"/>
                <w:sz w:val="24"/>
                <w:szCs w:val="24"/>
                <w:lang w:eastAsia="es-CO"/>
              </w:rPr>
              <w:t xml:space="preserve"> (mg/mL)</w:t>
            </w:r>
          </w:p>
        </w:tc>
      </w:tr>
      <w:tr w:rsidR="00C54ECF" w:rsidRPr="006E5C8E" w14:paraId="7B01235D" w14:textId="77777777" w:rsidTr="00C54ECF">
        <w:trPr>
          <w:trHeight w:val="300"/>
          <w:jc w:val="center"/>
        </w:trPr>
        <w:tc>
          <w:tcPr>
            <w:tcW w:w="1530" w:type="dxa"/>
            <w:tcBorders>
              <w:top w:val="single" w:sz="4" w:space="0" w:color="auto"/>
            </w:tcBorders>
            <w:noWrap/>
            <w:vAlign w:val="center"/>
            <w:hideMark/>
          </w:tcPr>
          <w:p w14:paraId="7B1BD7F0" w14:textId="77777777" w:rsidR="00C54ECF" w:rsidRPr="006E5C8E" w:rsidRDefault="00C54ECF" w:rsidP="002B16A3">
            <w:pPr>
              <w:spacing w:after="0" w:line="276" w:lineRule="auto"/>
              <w:jc w:val="center"/>
              <w:rPr>
                <w:rFonts w:ascii="Arial" w:eastAsia="Times New Roman" w:hAnsi="Arial" w:cs="Arial"/>
                <w:i/>
                <w:iCs/>
                <w:sz w:val="24"/>
                <w:szCs w:val="24"/>
                <w:lang w:eastAsia="es-CO"/>
              </w:rPr>
            </w:pPr>
            <w:r w:rsidRPr="006E5C8E">
              <w:rPr>
                <w:rFonts w:ascii="Arial" w:eastAsia="Times New Roman" w:hAnsi="Arial" w:cs="Arial"/>
                <w:i/>
                <w:iCs/>
                <w:sz w:val="24"/>
                <w:szCs w:val="24"/>
                <w:lang w:eastAsia="es-CO"/>
              </w:rPr>
              <w:t>Pectobacterium</w:t>
            </w:r>
          </w:p>
        </w:tc>
        <w:tc>
          <w:tcPr>
            <w:tcW w:w="2178" w:type="dxa"/>
            <w:tcBorders>
              <w:top w:val="single" w:sz="4" w:space="0" w:color="auto"/>
            </w:tcBorders>
            <w:noWrap/>
            <w:vAlign w:val="bottom"/>
            <w:hideMark/>
          </w:tcPr>
          <w:p w14:paraId="763813BC" w14:textId="512C0A7E" w:rsidR="00C54ECF" w:rsidRPr="004E6398" w:rsidRDefault="00C54ECF" w:rsidP="002B16A3">
            <w:pPr>
              <w:spacing w:after="0" w:line="276" w:lineRule="auto"/>
              <w:jc w:val="center"/>
              <w:rPr>
                <w:rFonts w:ascii="Arial" w:eastAsia="Times New Roman" w:hAnsi="Arial" w:cs="Arial"/>
                <w:sz w:val="24"/>
                <w:szCs w:val="24"/>
                <w:lang w:eastAsia="es-CO"/>
              </w:rPr>
            </w:pPr>
            <w:r w:rsidRPr="006E5C8E">
              <w:rPr>
                <w:rFonts w:ascii="Arial" w:hAnsi="Arial" w:cs="Arial"/>
                <w:sz w:val="24"/>
                <w:szCs w:val="24"/>
              </w:rPr>
              <w:t>1,21 ± 0.05</w:t>
            </w:r>
            <w:r w:rsidR="00E44BFF" w:rsidRPr="006E5C8E">
              <w:rPr>
                <w:rFonts w:ascii="Arial" w:hAnsi="Arial" w:cs="Arial"/>
                <w:sz w:val="24"/>
                <w:szCs w:val="24"/>
                <w:vertAlign w:val="superscript"/>
              </w:rPr>
              <w:t>a</w:t>
            </w:r>
          </w:p>
        </w:tc>
        <w:tc>
          <w:tcPr>
            <w:tcW w:w="2122" w:type="dxa"/>
            <w:tcBorders>
              <w:top w:val="single" w:sz="4" w:space="0" w:color="auto"/>
            </w:tcBorders>
            <w:noWrap/>
            <w:vAlign w:val="bottom"/>
            <w:hideMark/>
          </w:tcPr>
          <w:p w14:paraId="605A15BF" w14:textId="34DCC266" w:rsidR="00C54ECF" w:rsidRPr="006E5C8E" w:rsidRDefault="00C54ECF" w:rsidP="002B16A3">
            <w:pPr>
              <w:spacing w:after="0" w:line="276" w:lineRule="auto"/>
              <w:jc w:val="center"/>
              <w:rPr>
                <w:rFonts w:ascii="Arial" w:eastAsia="Times New Roman" w:hAnsi="Arial" w:cs="Arial"/>
                <w:sz w:val="24"/>
                <w:szCs w:val="24"/>
                <w:lang w:eastAsia="es-CO"/>
              </w:rPr>
            </w:pPr>
            <w:r w:rsidRPr="006E5C8E">
              <w:rPr>
                <w:rFonts w:ascii="Arial" w:hAnsi="Arial" w:cs="Arial"/>
                <w:sz w:val="24"/>
                <w:szCs w:val="24"/>
              </w:rPr>
              <w:t>1,28 ± 0.01</w:t>
            </w:r>
            <w:r w:rsidR="00E44BFF" w:rsidRPr="006E5C8E">
              <w:rPr>
                <w:rFonts w:ascii="Arial" w:hAnsi="Arial" w:cs="Arial"/>
                <w:sz w:val="24"/>
                <w:szCs w:val="24"/>
                <w:vertAlign w:val="superscript"/>
              </w:rPr>
              <w:t>a</w:t>
            </w:r>
          </w:p>
        </w:tc>
      </w:tr>
      <w:tr w:rsidR="00C54ECF" w:rsidRPr="006E5C8E" w14:paraId="7AB19102" w14:textId="77777777" w:rsidTr="00C54ECF">
        <w:trPr>
          <w:trHeight w:val="300"/>
          <w:jc w:val="center"/>
        </w:trPr>
        <w:tc>
          <w:tcPr>
            <w:tcW w:w="1530" w:type="dxa"/>
            <w:noWrap/>
            <w:vAlign w:val="center"/>
            <w:hideMark/>
          </w:tcPr>
          <w:p w14:paraId="75B6A4F6" w14:textId="77777777" w:rsidR="00C54ECF" w:rsidRPr="006E5C8E" w:rsidRDefault="00C54ECF" w:rsidP="002B16A3">
            <w:pPr>
              <w:spacing w:after="0" w:line="276" w:lineRule="auto"/>
              <w:jc w:val="center"/>
              <w:rPr>
                <w:rFonts w:ascii="Arial" w:eastAsia="Times New Roman" w:hAnsi="Arial" w:cs="Arial"/>
                <w:i/>
                <w:iCs/>
                <w:sz w:val="24"/>
                <w:szCs w:val="24"/>
                <w:lang w:eastAsia="es-CO"/>
              </w:rPr>
            </w:pPr>
            <w:r w:rsidRPr="006E5C8E">
              <w:rPr>
                <w:rFonts w:ascii="Arial" w:eastAsia="Times New Roman" w:hAnsi="Arial" w:cs="Arial"/>
                <w:i/>
                <w:iCs/>
                <w:sz w:val="24"/>
                <w:szCs w:val="24"/>
                <w:lang w:eastAsia="es-CO"/>
              </w:rPr>
              <w:t>X. campestris</w:t>
            </w:r>
          </w:p>
        </w:tc>
        <w:tc>
          <w:tcPr>
            <w:tcW w:w="2178" w:type="dxa"/>
            <w:noWrap/>
            <w:vAlign w:val="bottom"/>
            <w:hideMark/>
          </w:tcPr>
          <w:p w14:paraId="7AE36D12" w14:textId="60BEB679" w:rsidR="00C54ECF" w:rsidRPr="006E5C8E" w:rsidRDefault="00C54ECF" w:rsidP="002B16A3">
            <w:pPr>
              <w:spacing w:after="0" w:line="276" w:lineRule="auto"/>
              <w:jc w:val="center"/>
              <w:rPr>
                <w:rFonts w:ascii="Arial" w:eastAsia="Times New Roman" w:hAnsi="Arial" w:cs="Arial"/>
                <w:sz w:val="24"/>
                <w:szCs w:val="24"/>
                <w:lang w:eastAsia="es-CO"/>
              </w:rPr>
            </w:pPr>
            <w:r w:rsidRPr="006E5C8E">
              <w:rPr>
                <w:rFonts w:ascii="Arial" w:hAnsi="Arial" w:cs="Arial"/>
                <w:sz w:val="24"/>
                <w:szCs w:val="24"/>
              </w:rPr>
              <w:t>0,92</w:t>
            </w:r>
            <w:r w:rsidR="0090145A" w:rsidRPr="006E5C8E">
              <w:rPr>
                <w:rFonts w:ascii="Arial" w:hAnsi="Arial" w:cs="Arial"/>
                <w:sz w:val="24"/>
                <w:szCs w:val="24"/>
              </w:rPr>
              <w:t xml:space="preserve"> ± 0.03</w:t>
            </w:r>
            <w:r w:rsidR="00E44BFF" w:rsidRPr="006E5C8E">
              <w:rPr>
                <w:rFonts w:ascii="Arial" w:hAnsi="Arial" w:cs="Arial"/>
                <w:sz w:val="24"/>
                <w:szCs w:val="24"/>
                <w:vertAlign w:val="superscript"/>
              </w:rPr>
              <w:t>b</w:t>
            </w:r>
          </w:p>
        </w:tc>
        <w:tc>
          <w:tcPr>
            <w:tcW w:w="2122" w:type="dxa"/>
            <w:noWrap/>
            <w:vAlign w:val="bottom"/>
            <w:hideMark/>
          </w:tcPr>
          <w:p w14:paraId="01DC478D" w14:textId="5931A61E" w:rsidR="00C54ECF" w:rsidRPr="006E5C8E" w:rsidRDefault="00C54ECF" w:rsidP="002B16A3">
            <w:pPr>
              <w:spacing w:after="0" w:line="276" w:lineRule="auto"/>
              <w:jc w:val="center"/>
              <w:rPr>
                <w:rFonts w:ascii="Arial" w:eastAsia="Times New Roman" w:hAnsi="Arial" w:cs="Arial"/>
                <w:sz w:val="24"/>
                <w:szCs w:val="24"/>
                <w:lang w:eastAsia="es-CO"/>
              </w:rPr>
            </w:pPr>
            <w:r w:rsidRPr="006E5C8E">
              <w:rPr>
                <w:rFonts w:ascii="Arial" w:hAnsi="Arial" w:cs="Arial"/>
                <w:sz w:val="24"/>
                <w:szCs w:val="24"/>
              </w:rPr>
              <w:t>0,93</w:t>
            </w:r>
            <w:r w:rsidR="0090145A" w:rsidRPr="006E5C8E">
              <w:rPr>
                <w:rFonts w:ascii="Arial" w:hAnsi="Arial" w:cs="Arial"/>
                <w:sz w:val="24"/>
                <w:szCs w:val="24"/>
              </w:rPr>
              <w:t xml:space="preserve"> ± 0.17</w:t>
            </w:r>
            <w:r w:rsidR="00E44BFF" w:rsidRPr="006E5C8E">
              <w:rPr>
                <w:rFonts w:ascii="Arial" w:hAnsi="Arial" w:cs="Arial"/>
                <w:sz w:val="24"/>
                <w:szCs w:val="24"/>
                <w:vertAlign w:val="superscript"/>
              </w:rPr>
              <w:t>b</w:t>
            </w:r>
          </w:p>
        </w:tc>
      </w:tr>
    </w:tbl>
    <w:p w14:paraId="0915010E" w14:textId="2121E1D0" w:rsidR="00C27062" w:rsidRPr="004E6398" w:rsidRDefault="004E6398" w:rsidP="002B16A3">
      <w:pPr>
        <w:spacing w:after="0" w:line="276" w:lineRule="auto"/>
        <w:rPr>
          <w:rFonts w:ascii="Arial" w:hAnsi="Arial" w:cs="Arial"/>
          <w:sz w:val="24"/>
          <w:szCs w:val="24"/>
        </w:rPr>
      </w:pPr>
      <w:r w:rsidRPr="004E6398">
        <w:rPr>
          <w:rFonts w:ascii="Arial" w:hAnsi="Arial" w:cs="Arial"/>
          <w:sz w:val="24"/>
          <w:szCs w:val="24"/>
          <w:vertAlign w:val="superscript"/>
        </w:rPr>
        <w:t>a-b</w:t>
      </w:r>
      <w:r w:rsidRPr="004E6398">
        <w:rPr>
          <w:rFonts w:ascii="Arial" w:hAnsi="Arial" w:cs="Arial"/>
          <w:sz w:val="24"/>
          <w:szCs w:val="24"/>
        </w:rPr>
        <w:t xml:space="preserve"> Diferentes letras indican diferencias </w:t>
      </w:r>
      <w:r>
        <w:rPr>
          <w:rFonts w:ascii="Arial" w:hAnsi="Arial" w:cs="Arial"/>
          <w:sz w:val="24"/>
          <w:szCs w:val="24"/>
        </w:rPr>
        <w:t xml:space="preserve">estadísticamente significativas </w:t>
      </w:r>
      <w:r w:rsidRPr="004E6398">
        <w:rPr>
          <w:rFonts w:ascii="Arial" w:hAnsi="Arial" w:cs="Arial"/>
          <w:sz w:val="24"/>
          <w:szCs w:val="24"/>
        </w:rPr>
        <w:t>(p &lt;</w:t>
      </w:r>
      <w:r>
        <w:rPr>
          <w:rFonts w:ascii="Arial" w:hAnsi="Arial" w:cs="Arial"/>
          <w:sz w:val="24"/>
          <w:szCs w:val="24"/>
        </w:rPr>
        <w:t xml:space="preserve"> 0,05)</w:t>
      </w:r>
    </w:p>
    <w:p w14:paraId="081565E2" w14:textId="77777777" w:rsidR="004E6398" w:rsidRDefault="004E6398" w:rsidP="002B16A3">
      <w:pPr>
        <w:spacing w:after="0" w:line="276" w:lineRule="auto"/>
        <w:jc w:val="both"/>
        <w:rPr>
          <w:rFonts w:ascii="Arial" w:hAnsi="Arial" w:cs="Arial"/>
          <w:sz w:val="24"/>
          <w:szCs w:val="24"/>
        </w:rPr>
      </w:pPr>
    </w:p>
    <w:p w14:paraId="3B7C062D" w14:textId="0B243BC3" w:rsidR="004D6338" w:rsidRPr="006E5C8E" w:rsidRDefault="004D6338" w:rsidP="002B16A3">
      <w:pPr>
        <w:spacing w:after="0" w:line="276" w:lineRule="auto"/>
        <w:jc w:val="both"/>
        <w:rPr>
          <w:rFonts w:ascii="Arial" w:hAnsi="Arial" w:cs="Arial"/>
          <w:sz w:val="24"/>
          <w:szCs w:val="24"/>
        </w:rPr>
      </w:pPr>
      <w:r>
        <w:rPr>
          <w:rFonts w:ascii="Arial" w:hAnsi="Arial" w:cs="Arial"/>
          <w:sz w:val="24"/>
          <w:szCs w:val="24"/>
        </w:rPr>
        <w:t xml:space="preserve">Al evaluar la mezcla de AEC con los venenos de serpiente, se observó una mejora en la inhibición del efecto antimicrobiano, alcanzando casi el 100% (Figura 2). Resultados similares fueron obtenidos cuando se preparó la solución filmogenica con esta mezcla. </w:t>
      </w:r>
      <w:r w:rsidRPr="006909A0">
        <w:rPr>
          <w:rFonts w:ascii="Arial" w:hAnsi="Arial" w:cs="Arial"/>
          <w:sz w:val="24"/>
          <w:szCs w:val="24"/>
        </w:rPr>
        <w:t xml:space="preserve">El efecto es especialmente marcado sobre </w:t>
      </w:r>
      <w:r w:rsidRPr="006909A0">
        <w:rPr>
          <w:rFonts w:ascii="Arial" w:hAnsi="Arial" w:cs="Arial"/>
          <w:i/>
          <w:iCs/>
          <w:sz w:val="24"/>
          <w:szCs w:val="24"/>
        </w:rPr>
        <w:t>Pectobacterium</w:t>
      </w:r>
      <w:r w:rsidRPr="006909A0">
        <w:rPr>
          <w:rFonts w:ascii="Arial" w:hAnsi="Arial" w:cs="Arial"/>
          <w:sz w:val="24"/>
          <w:szCs w:val="24"/>
        </w:rPr>
        <w:t xml:space="preserve"> sp., donde los componentes por separado presentan menor actividad a las concentraciones ensayadas (AEC: 63,7 ± 0,28%; venenos: 6–9%), mientras que las mezclas exhiben inhibiciones del 94–100%. En conjunto, estos datos evidencian un efecto sinérgico entre el AEC</w:t>
      </w:r>
      <w:r w:rsidRPr="00045FE0">
        <w:rPr>
          <w:rFonts w:ascii="Arial" w:hAnsi="Arial" w:cs="Arial"/>
          <w:sz w:val="24"/>
          <w:szCs w:val="24"/>
        </w:rPr>
        <w:t xml:space="preserve"> funcionalizado en PE y las proteínas de veneno evaluadas.</w:t>
      </w:r>
      <w:r w:rsidRPr="00CB1043">
        <w:t xml:space="preserve"> </w:t>
      </w:r>
      <w:r w:rsidRPr="00CB1043">
        <w:rPr>
          <w:rFonts w:ascii="Arial" w:hAnsi="Arial" w:cs="Arial"/>
          <w:sz w:val="24"/>
          <w:szCs w:val="24"/>
        </w:rPr>
        <w:t>Estos hallazgos subrayan la importancia de explorar combinaciones de bioactivos para maximizar la eficacia antimicrobiana, un enfoque que ha mostrado resultados prometedores en estudios previos sobre sinergismo</w:t>
      </w:r>
      <w:r>
        <w:rPr>
          <w:rFonts w:ascii="Arial" w:hAnsi="Arial" w:cs="Arial"/>
          <w:sz w:val="24"/>
          <w:szCs w:val="24"/>
        </w:rPr>
        <w:t xml:space="preserve"> </w:t>
      </w:r>
      <w:r w:rsidRPr="00CB1043">
        <w:rPr>
          <w:rFonts w:ascii="Arial" w:hAnsi="Arial" w:cs="Arial"/>
          <w:sz w:val="24"/>
          <w:szCs w:val="24"/>
        </w:rPr>
        <w:t>(Vaou et al., 2022).</w:t>
      </w:r>
    </w:p>
    <w:p w14:paraId="5A37C3A0" w14:textId="77777777" w:rsidR="004D6338" w:rsidRDefault="004D6338" w:rsidP="002B16A3">
      <w:pPr>
        <w:spacing w:after="0" w:line="276" w:lineRule="auto"/>
        <w:jc w:val="both"/>
        <w:rPr>
          <w:rFonts w:ascii="Arial" w:hAnsi="Arial" w:cs="Arial"/>
          <w:sz w:val="24"/>
          <w:szCs w:val="24"/>
        </w:rPr>
      </w:pPr>
    </w:p>
    <w:p w14:paraId="72313C45" w14:textId="6E52058B" w:rsidR="00D35C4D" w:rsidRPr="006E5C8E" w:rsidRDefault="00185EBE" w:rsidP="002B16A3">
      <w:pPr>
        <w:spacing w:after="0" w:line="276" w:lineRule="auto"/>
        <w:jc w:val="center"/>
        <w:rPr>
          <w:rFonts w:ascii="Arial" w:hAnsi="Arial" w:cs="Arial"/>
          <w:sz w:val="24"/>
          <w:szCs w:val="24"/>
        </w:rPr>
      </w:pPr>
      <w:r>
        <w:rPr>
          <w:noProof/>
        </w:rPr>
        <w:drawing>
          <wp:inline distT="0" distB="0" distL="0" distR="0" wp14:anchorId="5BABA014" wp14:editId="3B43D860">
            <wp:extent cx="5467350" cy="3162300"/>
            <wp:effectExtent l="0" t="0" r="0" b="0"/>
            <wp:docPr id="496242087" name="Gráfico 1">
              <a:extLst xmlns:a="http://schemas.openxmlformats.org/drawingml/2006/main">
                <a:ext uri="{FF2B5EF4-FFF2-40B4-BE49-F238E27FC236}">
                  <a16:creationId xmlns:a16="http://schemas.microsoft.com/office/drawing/2014/main" id="{E4CB7AED-F335-4AB1-975F-AE9EAB6C2C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1F3A02" w14:textId="1A60DFF6" w:rsidR="000C008E" w:rsidRDefault="000C008E" w:rsidP="002B16A3">
      <w:pPr>
        <w:spacing w:after="0" w:line="276" w:lineRule="auto"/>
        <w:rPr>
          <w:rStyle w:val="nfasis"/>
          <w:rFonts w:ascii="Arial" w:hAnsi="Arial" w:cs="Arial"/>
          <w:sz w:val="24"/>
          <w:szCs w:val="24"/>
        </w:rPr>
      </w:pPr>
      <w:r w:rsidRPr="006E5C8E">
        <w:rPr>
          <w:rFonts w:ascii="Arial" w:hAnsi="Arial" w:cs="Arial"/>
          <w:sz w:val="24"/>
          <w:szCs w:val="24"/>
        </w:rPr>
        <w:t xml:space="preserve">Figura </w:t>
      </w:r>
      <w:r w:rsidR="004D6338">
        <w:rPr>
          <w:rFonts w:ascii="Arial" w:hAnsi="Arial" w:cs="Arial"/>
          <w:sz w:val="24"/>
          <w:szCs w:val="24"/>
        </w:rPr>
        <w:t>2</w:t>
      </w:r>
      <w:r w:rsidRPr="006E5C8E">
        <w:rPr>
          <w:rFonts w:ascii="Arial" w:hAnsi="Arial" w:cs="Arial"/>
          <w:sz w:val="24"/>
          <w:szCs w:val="24"/>
        </w:rPr>
        <w:t xml:space="preserve">. Actividad antibacteriana </w:t>
      </w:r>
      <w:r w:rsidR="005678F9">
        <w:rPr>
          <w:rFonts w:ascii="Arial" w:hAnsi="Arial" w:cs="Arial"/>
          <w:sz w:val="24"/>
          <w:szCs w:val="24"/>
        </w:rPr>
        <w:t xml:space="preserve">del </w:t>
      </w:r>
      <w:r w:rsidR="001F3CFA">
        <w:rPr>
          <w:rFonts w:ascii="Arial" w:hAnsi="Arial" w:cs="Arial"/>
          <w:sz w:val="24"/>
          <w:szCs w:val="24"/>
        </w:rPr>
        <w:t>AEC diluido en la solución filmogénica</w:t>
      </w:r>
      <w:r w:rsidR="001F3CFA" w:rsidRPr="006E5C8E">
        <w:rPr>
          <w:rFonts w:ascii="Arial" w:hAnsi="Arial" w:cs="Arial"/>
          <w:sz w:val="24"/>
          <w:szCs w:val="24"/>
        </w:rPr>
        <w:t xml:space="preserve"> </w:t>
      </w:r>
      <w:r w:rsidRPr="006E5C8E">
        <w:rPr>
          <w:rFonts w:ascii="Arial" w:hAnsi="Arial" w:cs="Arial"/>
          <w:sz w:val="24"/>
          <w:szCs w:val="24"/>
        </w:rPr>
        <w:t xml:space="preserve">(PE) y </w:t>
      </w:r>
      <w:r w:rsidR="005331CB">
        <w:rPr>
          <w:rFonts w:ascii="Arial" w:hAnsi="Arial" w:cs="Arial"/>
          <w:sz w:val="24"/>
          <w:szCs w:val="24"/>
        </w:rPr>
        <w:t xml:space="preserve">venenos completos de </w:t>
      </w:r>
      <w:r w:rsidR="003E157A" w:rsidRPr="006E5C8E">
        <w:rPr>
          <w:rStyle w:val="nfasis"/>
          <w:rFonts w:ascii="Arial" w:hAnsi="Arial" w:cs="Arial"/>
          <w:sz w:val="24"/>
          <w:szCs w:val="24"/>
        </w:rPr>
        <w:t>Micrurus mipartitus (MM) y Micrurus dumerilii (MD) y Bothrops asper (BA</w:t>
      </w:r>
      <w:r w:rsidR="00A97E54">
        <w:rPr>
          <w:rStyle w:val="nfasis"/>
          <w:rFonts w:ascii="Arial" w:hAnsi="Arial" w:cs="Arial"/>
          <w:sz w:val="24"/>
          <w:szCs w:val="24"/>
        </w:rPr>
        <w:t>).</w:t>
      </w:r>
    </w:p>
    <w:p w14:paraId="2011E498" w14:textId="43E8DE98" w:rsidR="004E6398" w:rsidRPr="004E6398" w:rsidRDefault="004E6398" w:rsidP="002B16A3">
      <w:pPr>
        <w:spacing w:after="0" w:line="276" w:lineRule="auto"/>
        <w:rPr>
          <w:rFonts w:ascii="Arial" w:hAnsi="Arial" w:cs="Arial"/>
          <w:sz w:val="24"/>
          <w:szCs w:val="24"/>
        </w:rPr>
      </w:pPr>
      <w:r w:rsidRPr="004E6398">
        <w:rPr>
          <w:rFonts w:ascii="Arial" w:hAnsi="Arial" w:cs="Arial"/>
          <w:sz w:val="24"/>
          <w:szCs w:val="24"/>
          <w:vertAlign w:val="superscript"/>
        </w:rPr>
        <w:t>a-</w:t>
      </w:r>
      <w:r>
        <w:rPr>
          <w:rFonts w:ascii="Arial" w:hAnsi="Arial" w:cs="Arial"/>
          <w:sz w:val="24"/>
          <w:szCs w:val="24"/>
          <w:vertAlign w:val="superscript"/>
        </w:rPr>
        <w:t>k</w:t>
      </w:r>
      <w:r w:rsidRPr="004E6398">
        <w:rPr>
          <w:rFonts w:ascii="Arial" w:hAnsi="Arial" w:cs="Arial"/>
          <w:sz w:val="24"/>
          <w:szCs w:val="24"/>
        </w:rPr>
        <w:t xml:space="preserve"> Diferentes letras indican diferencias </w:t>
      </w:r>
      <w:r>
        <w:rPr>
          <w:rFonts w:ascii="Arial" w:hAnsi="Arial" w:cs="Arial"/>
          <w:sz w:val="24"/>
          <w:szCs w:val="24"/>
        </w:rPr>
        <w:t xml:space="preserve">estadísticamente significativas </w:t>
      </w:r>
      <w:r w:rsidRPr="004E6398">
        <w:rPr>
          <w:rFonts w:ascii="Arial" w:hAnsi="Arial" w:cs="Arial"/>
          <w:sz w:val="24"/>
          <w:szCs w:val="24"/>
        </w:rPr>
        <w:t>(p &lt;</w:t>
      </w:r>
      <w:r>
        <w:rPr>
          <w:rFonts w:ascii="Arial" w:hAnsi="Arial" w:cs="Arial"/>
          <w:sz w:val="24"/>
          <w:szCs w:val="24"/>
        </w:rPr>
        <w:t xml:space="preserve"> 0,05)</w:t>
      </w:r>
    </w:p>
    <w:p w14:paraId="4036C8B9" w14:textId="77777777" w:rsidR="004E6398" w:rsidRPr="006E5C8E" w:rsidRDefault="004E6398" w:rsidP="002B16A3">
      <w:pPr>
        <w:spacing w:after="0" w:line="276" w:lineRule="auto"/>
        <w:rPr>
          <w:rFonts w:ascii="Arial" w:hAnsi="Arial" w:cs="Arial"/>
          <w:sz w:val="24"/>
          <w:szCs w:val="24"/>
        </w:rPr>
      </w:pPr>
    </w:p>
    <w:p w14:paraId="700D2E6E" w14:textId="260FD1F1" w:rsidR="00E71CFF" w:rsidRPr="006E5C8E" w:rsidRDefault="00E71CFF" w:rsidP="002B16A3">
      <w:pPr>
        <w:spacing w:after="0" w:line="276" w:lineRule="auto"/>
        <w:rPr>
          <w:rFonts w:ascii="Arial" w:hAnsi="Arial" w:cs="Arial"/>
          <w:b/>
          <w:sz w:val="24"/>
          <w:szCs w:val="24"/>
        </w:rPr>
      </w:pPr>
      <w:r w:rsidRPr="006E5C8E">
        <w:rPr>
          <w:rFonts w:ascii="Arial" w:hAnsi="Arial" w:cs="Arial"/>
          <w:b/>
          <w:sz w:val="24"/>
          <w:szCs w:val="24"/>
        </w:rPr>
        <w:t>CONCLUSIONES.</w:t>
      </w:r>
      <w:r w:rsidR="009335E1">
        <w:rPr>
          <w:rFonts w:ascii="Arial" w:hAnsi="Arial" w:cs="Arial"/>
          <w:b/>
          <w:sz w:val="24"/>
          <w:szCs w:val="24"/>
        </w:rPr>
        <w:t xml:space="preserve"> </w:t>
      </w:r>
    </w:p>
    <w:p w14:paraId="5BAB9093" w14:textId="268BF57E" w:rsidR="00E71CFF" w:rsidRDefault="006F6B09" w:rsidP="002B16A3">
      <w:pPr>
        <w:spacing w:after="0" w:line="276" w:lineRule="auto"/>
        <w:jc w:val="both"/>
        <w:rPr>
          <w:rFonts w:ascii="Arial" w:hAnsi="Arial" w:cs="Arial"/>
          <w:sz w:val="24"/>
          <w:szCs w:val="24"/>
        </w:rPr>
      </w:pPr>
      <w:r w:rsidRPr="006F6B09">
        <w:rPr>
          <w:rFonts w:ascii="Arial" w:hAnsi="Arial" w:cs="Arial"/>
          <w:sz w:val="24"/>
          <w:szCs w:val="24"/>
        </w:rPr>
        <w:t xml:space="preserve">El aceite esencial de citronela (AEC) mostró actividad antibacteriana y </w:t>
      </w:r>
      <w:r w:rsidR="00416A0C">
        <w:rPr>
          <w:rFonts w:ascii="Arial" w:hAnsi="Arial" w:cs="Arial"/>
          <w:sz w:val="24"/>
          <w:szCs w:val="24"/>
        </w:rPr>
        <w:t xml:space="preserve">una respuesta </w:t>
      </w:r>
      <w:r w:rsidRPr="006F6B09">
        <w:rPr>
          <w:rFonts w:ascii="Arial" w:hAnsi="Arial" w:cs="Arial"/>
          <w:sz w:val="24"/>
          <w:szCs w:val="24"/>
        </w:rPr>
        <w:t xml:space="preserve">dosis-dependiente frente a </w:t>
      </w:r>
      <w:r w:rsidRPr="00416A0C">
        <w:rPr>
          <w:rFonts w:ascii="Arial" w:hAnsi="Arial" w:cs="Arial"/>
          <w:i/>
          <w:iCs/>
          <w:sz w:val="24"/>
          <w:szCs w:val="24"/>
        </w:rPr>
        <w:t>Pectobacterium sp. y Xanthomonas campestris</w:t>
      </w:r>
      <w:r w:rsidRPr="006F6B09">
        <w:rPr>
          <w:rFonts w:ascii="Arial" w:hAnsi="Arial" w:cs="Arial"/>
          <w:sz w:val="24"/>
          <w:szCs w:val="24"/>
        </w:rPr>
        <w:t xml:space="preserve">. </w:t>
      </w:r>
      <w:r w:rsidR="00385F34">
        <w:rPr>
          <w:rFonts w:ascii="Arial" w:hAnsi="Arial" w:cs="Arial"/>
          <w:sz w:val="24"/>
          <w:szCs w:val="24"/>
        </w:rPr>
        <w:t xml:space="preserve">La </w:t>
      </w:r>
      <w:r w:rsidR="00385F34" w:rsidRPr="00385F34">
        <w:rPr>
          <w:rFonts w:ascii="Arial" w:hAnsi="Arial" w:cs="Arial"/>
          <w:sz w:val="24"/>
          <w:szCs w:val="24"/>
        </w:rPr>
        <w:t xml:space="preserve">incorporación en la matriz filmogénica (PE) no </w:t>
      </w:r>
      <w:r w:rsidRPr="006F6B09">
        <w:rPr>
          <w:rFonts w:ascii="Arial" w:hAnsi="Arial" w:cs="Arial"/>
          <w:sz w:val="24"/>
          <w:szCs w:val="24"/>
        </w:rPr>
        <w:t>deterioró el desempeño del AEC: los IC</w:t>
      </w:r>
      <w:r w:rsidRPr="006F6B09">
        <w:rPr>
          <w:rFonts w:ascii="Cambria Math" w:hAnsi="Cambria Math" w:cs="Cambria Math"/>
          <w:sz w:val="24"/>
          <w:szCs w:val="24"/>
        </w:rPr>
        <w:t>₅₀</w:t>
      </w:r>
      <w:r w:rsidRPr="006F6B09">
        <w:rPr>
          <w:rFonts w:ascii="Arial" w:hAnsi="Arial" w:cs="Arial"/>
          <w:sz w:val="24"/>
          <w:szCs w:val="24"/>
        </w:rPr>
        <w:t xml:space="preserve"> se mantuvieron en el mismo orden de magnitud (0,9</w:t>
      </w:r>
      <w:r w:rsidR="0012626B">
        <w:rPr>
          <w:rFonts w:ascii="Arial" w:hAnsi="Arial" w:cs="Arial"/>
          <w:sz w:val="24"/>
          <w:szCs w:val="24"/>
        </w:rPr>
        <w:t xml:space="preserve"> - </w:t>
      </w:r>
      <w:r w:rsidRPr="006F6B09">
        <w:rPr>
          <w:rFonts w:ascii="Arial" w:hAnsi="Arial" w:cs="Arial"/>
          <w:sz w:val="24"/>
          <w:szCs w:val="24"/>
        </w:rPr>
        <w:t xml:space="preserve">1,2), lo que respalda el uso de biopelículas como vehículo de aplicación del biocompuesto. </w:t>
      </w:r>
      <w:r w:rsidR="0014002A" w:rsidRPr="0014002A">
        <w:rPr>
          <w:rFonts w:ascii="Arial" w:hAnsi="Arial" w:cs="Arial"/>
          <w:sz w:val="24"/>
          <w:szCs w:val="24"/>
        </w:rPr>
        <w:t xml:space="preserve">Además, la combinación del AEC con venenos de </w:t>
      </w:r>
      <w:r w:rsidR="0014002A" w:rsidRPr="0014002A">
        <w:rPr>
          <w:rFonts w:ascii="Arial" w:hAnsi="Arial" w:cs="Arial"/>
          <w:i/>
          <w:iCs/>
          <w:sz w:val="24"/>
          <w:szCs w:val="24"/>
        </w:rPr>
        <w:t>Micrurus mipartitus</w:t>
      </w:r>
      <w:r w:rsidR="0014002A" w:rsidRPr="0014002A">
        <w:rPr>
          <w:rFonts w:ascii="Arial" w:hAnsi="Arial" w:cs="Arial"/>
          <w:sz w:val="24"/>
          <w:szCs w:val="24"/>
        </w:rPr>
        <w:t xml:space="preserve">, </w:t>
      </w:r>
      <w:r w:rsidR="0014002A" w:rsidRPr="0014002A">
        <w:rPr>
          <w:rFonts w:ascii="Arial" w:hAnsi="Arial" w:cs="Arial"/>
          <w:i/>
          <w:iCs/>
          <w:sz w:val="24"/>
          <w:szCs w:val="24"/>
        </w:rPr>
        <w:t>Micrurus dumerilii</w:t>
      </w:r>
      <w:r w:rsidR="0014002A" w:rsidRPr="0014002A">
        <w:rPr>
          <w:rFonts w:ascii="Arial" w:hAnsi="Arial" w:cs="Arial"/>
          <w:sz w:val="24"/>
          <w:szCs w:val="24"/>
        </w:rPr>
        <w:t xml:space="preserve"> y </w:t>
      </w:r>
      <w:r w:rsidR="0014002A" w:rsidRPr="0014002A">
        <w:rPr>
          <w:rFonts w:ascii="Arial" w:hAnsi="Arial" w:cs="Arial"/>
          <w:i/>
          <w:iCs/>
          <w:sz w:val="24"/>
          <w:szCs w:val="24"/>
        </w:rPr>
        <w:t>Bothrops asper</w:t>
      </w:r>
      <w:r w:rsidR="0014002A" w:rsidRPr="0014002A">
        <w:rPr>
          <w:rFonts w:ascii="Arial" w:hAnsi="Arial" w:cs="Arial"/>
          <w:sz w:val="24"/>
          <w:szCs w:val="24"/>
        </w:rPr>
        <w:t xml:space="preserve"> </w:t>
      </w:r>
      <w:r w:rsidR="009335E1">
        <w:rPr>
          <w:rFonts w:ascii="Arial" w:hAnsi="Arial" w:cs="Arial"/>
          <w:sz w:val="24"/>
          <w:szCs w:val="24"/>
        </w:rPr>
        <w:t>mostró incrementos estadísticamente significativos de</w:t>
      </w:r>
      <w:r w:rsidR="0014002A" w:rsidRPr="0014002A">
        <w:rPr>
          <w:rFonts w:ascii="Arial" w:hAnsi="Arial" w:cs="Arial"/>
          <w:sz w:val="24"/>
          <w:szCs w:val="24"/>
        </w:rPr>
        <w:t xml:space="preserve"> la inhibición </w:t>
      </w:r>
      <w:r w:rsidR="009335E1">
        <w:rPr>
          <w:rFonts w:ascii="Arial" w:hAnsi="Arial" w:cs="Arial"/>
          <w:sz w:val="24"/>
          <w:szCs w:val="24"/>
        </w:rPr>
        <w:t>bacteriana</w:t>
      </w:r>
      <w:r w:rsidR="0014002A" w:rsidRPr="0014002A">
        <w:rPr>
          <w:rFonts w:ascii="Arial" w:hAnsi="Arial" w:cs="Arial"/>
          <w:sz w:val="24"/>
          <w:szCs w:val="24"/>
        </w:rPr>
        <w:t xml:space="preserve">, </w:t>
      </w:r>
      <w:r w:rsidRPr="006F6B09">
        <w:rPr>
          <w:rFonts w:ascii="Arial" w:hAnsi="Arial" w:cs="Arial"/>
          <w:sz w:val="24"/>
          <w:szCs w:val="24"/>
        </w:rPr>
        <w:t>alcanzando valores cercanos al 100% y superando el efecto de cada componente por separado</w:t>
      </w:r>
      <w:r w:rsidR="00716087">
        <w:rPr>
          <w:rFonts w:ascii="Arial" w:hAnsi="Arial" w:cs="Arial"/>
          <w:sz w:val="24"/>
          <w:szCs w:val="24"/>
        </w:rPr>
        <w:t>. E</w:t>
      </w:r>
      <w:r w:rsidRPr="006F6B09">
        <w:rPr>
          <w:rFonts w:ascii="Arial" w:hAnsi="Arial" w:cs="Arial"/>
          <w:sz w:val="24"/>
          <w:szCs w:val="24"/>
        </w:rPr>
        <w:t xml:space="preserve">l beneficio fue especialmente marcado en </w:t>
      </w:r>
      <w:r w:rsidRPr="00716087">
        <w:rPr>
          <w:rFonts w:ascii="Arial" w:hAnsi="Arial" w:cs="Arial"/>
          <w:i/>
          <w:iCs/>
          <w:sz w:val="24"/>
          <w:szCs w:val="24"/>
        </w:rPr>
        <w:t>Pectobacterium sp</w:t>
      </w:r>
      <w:r w:rsidRPr="006F6B09">
        <w:rPr>
          <w:rFonts w:ascii="Arial" w:hAnsi="Arial" w:cs="Arial"/>
          <w:sz w:val="24"/>
          <w:szCs w:val="24"/>
        </w:rPr>
        <w:t xml:space="preserve">. En conjunto, los resultados evidencian un efecto sinérgico </w:t>
      </w:r>
      <w:r w:rsidR="001854CA">
        <w:rPr>
          <w:rFonts w:ascii="Arial" w:hAnsi="Arial" w:cs="Arial"/>
          <w:sz w:val="24"/>
          <w:szCs w:val="24"/>
        </w:rPr>
        <w:t xml:space="preserve">entre el </w:t>
      </w:r>
      <w:r w:rsidRPr="006F6B09">
        <w:rPr>
          <w:rFonts w:ascii="Arial" w:hAnsi="Arial" w:cs="Arial"/>
          <w:sz w:val="24"/>
          <w:szCs w:val="24"/>
        </w:rPr>
        <w:t>AEC</w:t>
      </w:r>
      <w:r w:rsidR="001854CA">
        <w:rPr>
          <w:rFonts w:ascii="Arial" w:hAnsi="Arial" w:cs="Arial"/>
          <w:sz w:val="24"/>
          <w:szCs w:val="24"/>
        </w:rPr>
        <w:t xml:space="preserve"> y los</w:t>
      </w:r>
      <w:r w:rsidRPr="006F6B09">
        <w:rPr>
          <w:rFonts w:ascii="Arial" w:hAnsi="Arial" w:cs="Arial"/>
          <w:sz w:val="24"/>
          <w:szCs w:val="24"/>
        </w:rPr>
        <w:t xml:space="preserve"> veneno</w:t>
      </w:r>
      <w:r w:rsidR="001854CA">
        <w:rPr>
          <w:rFonts w:ascii="Arial" w:hAnsi="Arial" w:cs="Arial"/>
          <w:sz w:val="24"/>
          <w:szCs w:val="24"/>
        </w:rPr>
        <w:t>s</w:t>
      </w:r>
      <w:r w:rsidR="00CA5B3D">
        <w:rPr>
          <w:rFonts w:ascii="Arial" w:hAnsi="Arial" w:cs="Arial"/>
          <w:sz w:val="24"/>
          <w:szCs w:val="24"/>
        </w:rPr>
        <w:t xml:space="preserve">, y </w:t>
      </w:r>
      <w:r w:rsidR="00CA5B3D" w:rsidRPr="00CA5B3D">
        <w:rPr>
          <w:rFonts w:ascii="Arial" w:hAnsi="Arial" w:cs="Arial"/>
          <w:sz w:val="24"/>
          <w:szCs w:val="24"/>
        </w:rPr>
        <w:t>se perfila como una alternativa viabl</w:t>
      </w:r>
      <w:r w:rsidR="00CA5B3D">
        <w:rPr>
          <w:rFonts w:ascii="Arial" w:hAnsi="Arial" w:cs="Arial"/>
          <w:sz w:val="24"/>
          <w:szCs w:val="24"/>
        </w:rPr>
        <w:t>e</w:t>
      </w:r>
      <w:r w:rsidRPr="006F6B09">
        <w:rPr>
          <w:rFonts w:ascii="Arial" w:hAnsi="Arial" w:cs="Arial"/>
          <w:sz w:val="24"/>
          <w:szCs w:val="24"/>
        </w:rPr>
        <w:t xml:space="preserve"> para el control de fitopatógenos de interés agroalimentario, con potencial para reducir el uso de plaguicidas sintéticos y contribuir a prácticas agrícolas más sostenibles.</w:t>
      </w:r>
    </w:p>
    <w:p w14:paraId="25E4EF87" w14:textId="77777777" w:rsidR="006F6B09" w:rsidRDefault="006F6B09" w:rsidP="002B16A3">
      <w:pPr>
        <w:spacing w:after="0" w:line="276" w:lineRule="auto"/>
        <w:rPr>
          <w:rFonts w:ascii="Arial" w:hAnsi="Arial" w:cs="Arial"/>
          <w:sz w:val="24"/>
          <w:szCs w:val="24"/>
        </w:rPr>
      </w:pPr>
    </w:p>
    <w:p w14:paraId="28E044A8" w14:textId="63D6E406" w:rsidR="001636E5" w:rsidRPr="0041265B" w:rsidRDefault="004E6398" w:rsidP="002B16A3">
      <w:pPr>
        <w:spacing w:after="0" w:line="276" w:lineRule="auto"/>
        <w:rPr>
          <w:rFonts w:ascii="Arial" w:hAnsi="Arial" w:cs="Arial"/>
          <w:b/>
          <w:bCs/>
          <w:sz w:val="24"/>
          <w:szCs w:val="24"/>
        </w:rPr>
      </w:pPr>
      <w:r w:rsidRPr="0041265B">
        <w:rPr>
          <w:rFonts w:ascii="Arial" w:hAnsi="Arial" w:cs="Arial"/>
          <w:b/>
          <w:bCs/>
          <w:sz w:val="24"/>
          <w:szCs w:val="24"/>
        </w:rPr>
        <w:t>AGRADECIMIENTOS</w:t>
      </w:r>
    </w:p>
    <w:p w14:paraId="32580310" w14:textId="740EFF61" w:rsidR="001636E5" w:rsidRPr="006E5C8E" w:rsidRDefault="0041265B" w:rsidP="002B16A3">
      <w:pPr>
        <w:spacing w:after="0" w:line="276" w:lineRule="auto"/>
        <w:rPr>
          <w:rFonts w:ascii="Arial" w:hAnsi="Arial" w:cs="Arial"/>
          <w:sz w:val="24"/>
          <w:szCs w:val="24"/>
        </w:rPr>
      </w:pPr>
      <w:r>
        <w:rPr>
          <w:rFonts w:ascii="Arial" w:hAnsi="Arial" w:cs="Arial"/>
          <w:sz w:val="24"/>
          <w:szCs w:val="24"/>
        </w:rPr>
        <w:t xml:space="preserve">Los autores agraden al </w:t>
      </w:r>
      <w:r w:rsidR="001636E5">
        <w:rPr>
          <w:rFonts w:ascii="Arial" w:hAnsi="Arial" w:cs="Arial"/>
          <w:sz w:val="24"/>
          <w:szCs w:val="24"/>
        </w:rPr>
        <w:t xml:space="preserve">grupo de </w:t>
      </w:r>
      <w:r>
        <w:rPr>
          <w:rFonts w:ascii="Arial" w:hAnsi="Arial" w:cs="Arial"/>
          <w:sz w:val="24"/>
          <w:szCs w:val="24"/>
        </w:rPr>
        <w:t>investigación</w:t>
      </w:r>
      <w:r w:rsidR="001636E5">
        <w:rPr>
          <w:rFonts w:ascii="Arial" w:hAnsi="Arial" w:cs="Arial"/>
          <w:sz w:val="24"/>
          <w:szCs w:val="24"/>
        </w:rPr>
        <w:t xml:space="preserve"> en Toxinologia, alternativas terapéuticas y alimentarias de la Universidad de Antioquia UdeA</w:t>
      </w:r>
      <w:r>
        <w:rPr>
          <w:rFonts w:ascii="Arial" w:hAnsi="Arial" w:cs="Arial"/>
          <w:sz w:val="24"/>
          <w:szCs w:val="24"/>
        </w:rPr>
        <w:t xml:space="preserve">, y al </w:t>
      </w:r>
      <w:r w:rsidR="001636E5" w:rsidRPr="001636E5">
        <w:rPr>
          <w:rFonts w:ascii="Arial" w:hAnsi="Arial" w:cs="Arial"/>
          <w:sz w:val="24"/>
          <w:szCs w:val="24"/>
        </w:rPr>
        <w:t>Ministerio de Ciencia y Tecnología Colombia (MINCIENCIAS) </w:t>
      </w:r>
      <w:r w:rsidR="001636E5">
        <w:rPr>
          <w:rFonts w:ascii="Arial" w:hAnsi="Arial" w:cs="Arial"/>
          <w:sz w:val="24"/>
          <w:szCs w:val="24"/>
        </w:rPr>
        <w:t xml:space="preserve">proyecto </w:t>
      </w:r>
      <w:r w:rsidR="004E6398">
        <w:rPr>
          <w:rFonts w:ascii="Arial" w:hAnsi="Arial" w:cs="Arial"/>
          <w:sz w:val="24"/>
          <w:szCs w:val="24"/>
        </w:rPr>
        <w:t>número</w:t>
      </w:r>
      <w:r w:rsidR="001636E5" w:rsidRPr="001636E5">
        <w:rPr>
          <w:rFonts w:ascii="Arial" w:hAnsi="Arial" w:cs="Arial"/>
          <w:sz w:val="24"/>
          <w:szCs w:val="24"/>
        </w:rPr>
        <w:t> </w:t>
      </w:r>
      <w:hyperlink r:id="rId11" w:anchor="gs3" w:history="1">
        <w:r w:rsidR="001636E5" w:rsidRPr="004E6398">
          <w:rPr>
            <w:rStyle w:val="Hipervnculo"/>
            <w:rFonts w:ascii="Arial" w:hAnsi="Arial" w:cs="Arial"/>
            <w:color w:val="auto"/>
            <w:sz w:val="24"/>
            <w:szCs w:val="24"/>
            <w:u w:val="none"/>
          </w:rPr>
          <w:t>82487</w:t>
        </w:r>
      </w:hyperlink>
      <w:r>
        <w:rPr>
          <w:rFonts w:ascii="Arial" w:hAnsi="Arial" w:cs="Arial"/>
          <w:sz w:val="24"/>
          <w:szCs w:val="24"/>
        </w:rPr>
        <w:t>.</w:t>
      </w:r>
      <w:r w:rsidR="001636E5" w:rsidRPr="001636E5">
        <w:rPr>
          <w:rFonts w:ascii="Arial" w:hAnsi="Arial" w:cs="Arial"/>
          <w:sz w:val="24"/>
          <w:szCs w:val="24"/>
        </w:rPr>
        <w:t> </w:t>
      </w:r>
    </w:p>
    <w:p w14:paraId="7FA9B8B3" w14:textId="77777777" w:rsidR="004E6398" w:rsidRDefault="004E6398" w:rsidP="002B16A3">
      <w:pPr>
        <w:spacing w:after="0" w:line="276" w:lineRule="auto"/>
        <w:rPr>
          <w:rFonts w:ascii="Arial" w:hAnsi="Arial" w:cs="Arial"/>
          <w:b/>
          <w:sz w:val="24"/>
          <w:szCs w:val="24"/>
        </w:rPr>
      </w:pPr>
    </w:p>
    <w:p w14:paraId="5FD635CF" w14:textId="2E654F8E" w:rsidR="007A61C1" w:rsidRPr="006E5C8E" w:rsidRDefault="00DD0170" w:rsidP="002B16A3">
      <w:pPr>
        <w:spacing w:after="0" w:line="276" w:lineRule="auto"/>
        <w:rPr>
          <w:rFonts w:ascii="Arial" w:hAnsi="Arial" w:cs="Arial"/>
          <w:b/>
          <w:sz w:val="24"/>
          <w:szCs w:val="24"/>
        </w:rPr>
      </w:pPr>
      <w:r w:rsidRPr="006E5C8E">
        <w:rPr>
          <w:rFonts w:ascii="Arial" w:hAnsi="Arial" w:cs="Arial"/>
          <w:b/>
          <w:sz w:val="24"/>
          <w:szCs w:val="24"/>
        </w:rPr>
        <w:t>BIBLIOGRAFÍA.</w:t>
      </w:r>
    </w:p>
    <w:p w14:paraId="5834C8AF" w14:textId="77777777" w:rsidR="006F7A4D" w:rsidRPr="00E83FC1" w:rsidRDefault="006F7A4D" w:rsidP="002B16A3">
      <w:pPr>
        <w:shd w:val="clear" w:color="auto" w:fill="FFFFFF"/>
        <w:spacing w:after="0" w:line="276" w:lineRule="auto"/>
        <w:jc w:val="both"/>
        <w:rPr>
          <w:rFonts w:asciiTheme="minorBidi" w:eastAsia="Times New Roman" w:hAnsiTheme="minorBidi"/>
          <w:color w:val="212529"/>
          <w:sz w:val="24"/>
          <w:szCs w:val="24"/>
          <w:lang w:eastAsia="es-CO"/>
        </w:rPr>
      </w:pPr>
      <w:r w:rsidRPr="00992576">
        <w:rPr>
          <w:rFonts w:asciiTheme="minorBidi" w:eastAsia="Times New Roman" w:hAnsiTheme="minorBidi"/>
          <w:color w:val="000000" w:themeColor="text1"/>
          <w:sz w:val="24"/>
          <w:szCs w:val="24"/>
          <w:lang w:eastAsia="es-CO"/>
        </w:rPr>
        <w:t>Cruz Trujillo, J. J., Hernández Gutiérrez, V., Sánchez Leal, L. C., &amp; Fuentes Quintero, L. S. (2021). Alternativas de control biorracionales sobre Phytophthora infestans, fitopatógeno causante de la gota en papa. </w:t>
      </w:r>
      <w:r w:rsidRPr="00E83FC1">
        <w:rPr>
          <w:rFonts w:asciiTheme="minorBidi" w:eastAsia="Times New Roman" w:hAnsiTheme="minorBidi"/>
          <w:i/>
          <w:iCs/>
          <w:color w:val="000000" w:themeColor="text1"/>
          <w:sz w:val="24"/>
          <w:szCs w:val="24"/>
          <w:lang w:eastAsia="es-CO"/>
        </w:rPr>
        <w:t>Revista Nova</w:t>
      </w:r>
      <w:r w:rsidRPr="00E83FC1">
        <w:rPr>
          <w:rFonts w:asciiTheme="minorBidi" w:eastAsia="Times New Roman" w:hAnsiTheme="minorBidi"/>
          <w:color w:val="000000" w:themeColor="text1"/>
          <w:sz w:val="24"/>
          <w:szCs w:val="24"/>
          <w:lang w:eastAsia="es-CO"/>
        </w:rPr>
        <w:t>, </w:t>
      </w:r>
      <w:r w:rsidRPr="00E83FC1">
        <w:rPr>
          <w:rFonts w:asciiTheme="minorBidi" w:eastAsia="Times New Roman" w:hAnsiTheme="minorBidi"/>
          <w:i/>
          <w:iCs/>
          <w:color w:val="000000" w:themeColor="text1"/>
          <w:sz w:val="24"/>
          <w:szCs w:val="24"/>
          <w:lang w:eastAsia="es-CO"/>
        </w:rPr>
        <w:t>19</w:t>
      </w:r>
      <w:r w:rsidRPr="00E83FC1">
        <w:rPr>
          <w:rFonts w:asciiTheme="minorBidi" w:eastAsia="Times New Roman" w:hAnsiTheme="minorBidi"/>
          <w:color w:val="000000" w:themeColor="text1"/>
          <w:sz w:val="24"/>
          <w:szCs w:val="24"/>
          <w:lang w:eastAsia="es-CO"/>
        </w:rPr>
        <w:t>(36). </w:t>
      </w:r>
      <w:hyperlink r:id="rId12" w:history="1">
        <w:r w:rsidRPr="00E83FC1">
          <w:rPr>
            <w:rFonts w:asciiTheme="minorBidi" w:eastAsia="Times New Roman" w:hAnsiTheme="minorBidi"/>
            <w:color w:val="214696"/>
            <w:sz w:val="24"/>
            <w:szCs w:val="24"/>
            <w:u w:val="single"/>
            <w:lang w:eastAsia="es-CO"/>
          </w:rPr>
          <w:t>https://revistas.universidadmayor.edu.co/index.php/nova/article/view/1832</w:t>
        </w:r>
      </w:hyperlink>
    </w:p>
    <w:p w14:paraId="48010F9C" w14:textId="06C049BF" w:rsidR="007C78DA" w:rsidRPr="00992576" w:rsidRDefault="007C78DA" w:rsidP="002B16A3">
      <w:pPr>
        <w:spacing w:after="0" w:line="276" w:lineRule="auto"/>
        <w:rPr>
          <w:rFonts w:asciiTheme="minorBidi" w:hAnsiTheme="minorBidi"/>
          <w:sz w:val="24"/>
          <w:szCs w:val="24"/>
        </w:rPr>
      </w:pPr>
      <w:r w:rsidRPr="00E83FC1">
        <w:rPr>
          <w:rFonts w:asciiTheme="minorBidi" w:hAnsiTheme="minorBidi"/>
          <w:color w:val="000000" w:themeColor="text1"/>
          <w:sz w:val="24"/>
          <w:szCs w:val="24"/>
        </w:rPr>
        <w:t xml:space="preserve">Gómez Sampedro, L. J. (2013). </w:t>
      </w:r>
      <w:r w:rsidRPr="00992576">
        <w:rPr>
          <w:rFonts w:asciiTheme="minorBidi" w:hAnsiTheme="minorBidi"/>
          <w:i/>
          <w:iCs/>
          <w:color w:val="000000" w:themeColor="text1"/>
          <w:sz w:val="24"/>
          <w:szCs w:val="24"/>
        </w:rPr>
        <w:t>Propiedades biológicas de los hidrolizados enzimáticos de plasma de bovino: actividad antioxidante, antihipertensiva y antimicrobiana</w:t>
      </w:r>
      <w:r w:rsidRPr="00992576">
        <w:rPr>
          <w:rFonts w:asciiTheme="minorBidi" w:hAnsiTheme="minorBidi"/>
          <w:color w:val="000000" w:themeColor="text1"/>
          <w:sz w:val="24"/>
          <w:szCs w:val="24"/>
        </w:rPr>
        <w:t xml:space="preserve"> [Tesis de maestría, Universidad de Antioquia]. Biblioteca Digital de la Universidad de Antioquia</w:t>
      </w:r>
      <w:r w:rsidRPr="00992576">
        <w:rPr>
          <w:rFonts w:asciiTheme="minorBidi" w:hAnsiTheme="minorBidi"/>
          <w:sz w:val="24"/>
          <w:szCs w:val="24"/>
        </w:rPr>
        <w:t xml:space="preserve">. </w:t>
      </w:r>
      <w:hyperlink r:id="rId13" w:history="1">
        <w:r w:rsidR="00931F5D" w:rsidRPr="00992576">
          <w:rPr>
            <w:rStyle w:val="Hipervnculo"/>
            <w:rFonts w:asciiTheme="minorBidi" w:hAnsiTheme="minorBidi"/>
            <w:sz w:val="24"/>
            <w:szCs w:val="24"/>
          </w:rPr>
          <w:t>http://hdl.handle.net/10495/3907</w:t>
        </w:r>
      </w:hyperlink>
    </w:p>
    <w:p w14:paraId="3C40005D" w14:textId="511EB3A7" w:rsidR="006F7A4D" w:rsidRPr="006F6B09" w:rsidRDefault="00992576" w:rsidP="002B16A3">
      <w:pPr>
        <w:shd w:val="clear" w:color="auto" w:fill="FFFFFF"/>
        <w:spacing w:after="0" w:line="276" w:lineRule="auto"/>
        <w:jc w:val="both"/>
        <w:rPr>
          <w:rFonts w:asciiTheme="minorBidi" w:hAnsiTheme="minorBidi"/>
          <w:color w:val="505050"/>
          <w:sz w:val="24"/>
          <w:szCs w:val="24"/>
          <w:shd w:val="clear" w:color="auto" w:fill="FFFFFF"/>
        </w:rPr>
      </w:pPr>
      <w:r w:rsidRPr="005678F9">
        <w:rPr>
          <w:rFonts w:asciiTheme="minorBidi" w:hAnsiTheme="minorBidi"/>
          <w:color w:val="000000" w:themeColor="text1"/>
          <w:sz w:val="24"/>
          <w:szCs w:val="24"/>
          <w:shd w:val="clear" w:color="auto" w:fill="FFFFFF"/>
        </w:rPr>
        <w:t>Mao, B., &amp; dela Cueva, F. (2019). Growth-inhibiting activity of citronella essential oil to multiple fungal plant pathogens. bioRxiv, 860718</w:t>
      </w:r>
      <w:r w:rsidRPr="005678F9">
        <w:rPr>
          <w:rFonts w:asciiTheme="minorBidi" w:hAnsiTheme="minorBidi"/>
          <w:color w:val="505050"/>
          <w:sz w:val="24"/>
          <w:szCs w:val="24"/>
          <w:shd w:val="clear" w:color="auto" w:fill="FFFFFF"/>
        </w:rPr>
        <w:t xml:space="preserve">. </w:t>
      </w:r>
      <w:hyperlink r:id="rId14" w:history="1">
        <w:r w:rsidRPr="006F6B09">
          <w:rPr>
            <w:rStyle w:val="Hipervnculo"/>
            <w:rFonts w:asciiTheme="minorBidi" w:hAnsiTheme="minorBidi"/>
            <w:sz w:val="24"/>
            <w:szCs w:val="24"/>
            <w:shd w:val="clear" w:color="auto" w:fill="FFFFFF"/>
          </w:rPr>
          <w:t>https://doi.org/10.1101/860718</w:t>
        </w:r>
      </w:hyperlink>
    </w:p>
    <w:p w14:paraId="6DD3E079" w14:textId="0BFB217A" w:rsidR="006F7A4D" w:rsidRPr="0041265B" w:rsidRDefault="006F7A4D" w:rsidP="002B16A3">
      <w:pPr>
        <w:shd w:val="clear" w:color="auto" w:fill="FFFFFF"/>
        <w:spacing w:after="0" w:line="276" w:lineRule="auto"/>
        <w:jc w:val="both"/>
        <w:rPr>
          <w:rFonts w:asciiTheme="minorBidi" w:hAnsiTheme="minorBidi"/>
          <w:color w:val="000000" w:themeColor="text1"/>
          <w:sz w:val="24"/>
          <w:szCs w:val="24"/>
          <w:shd w:val="clear" w:color="auto" w:fill="FFFFFF"/>
        </w:rPr>
      </w:pPr>
      <w:r w:rsidRPr="00992576">
        <w:rPr>
          <w:rFonts w:asciiTheme="minorBidi" w:hAnsiTheme="minorBidi"/>
          <w:color w:val="000000" w:themeColor="text1"/>
          <w:sz w:val="24"/>
          <w:szCs w:val="24"/>
          <w:shd w:val="clear" w:color="auto" w:fill="FFFFFF"/>
        </w:rPr>
        <w:t xml:space="preserve">Núñez-Rangel, V., Rey-Suárez, P., Serna, A., Gómez-Robles, J., Rey-Torres, A., &amp; Morales, E. (2023). </w:t>
      </w:r>
      <w:r w:rsidRPr="00992576">
        <w:rPr>
          <w:rFonts w:asciiTheme="minorBidi" w:hAnsiTheme="minorBidi"/>
          <w:color w:val="000000" w:themeColor="text1"/>
          <w:sz w:val="24"/>
          <w:szCs w:val="24"/>
          <w:shd w:val="clear" w:color="auto" w:fill="FFFFFF"/>
          <w:lang w:val="en-US"/>
        </w:rPr>
        <w:t>Antimicrobial activity of Bothrops asper and Porthidium nasutum venom on purple passion fruit (Passiflora edulis f. edulis) phytopathogens. </w:t>
      </w:r>
      <w:r w:rsidRPr="0041265B">
        <w:rPr>
          <w:rFonts w:asciiTheme="minorBidi" w:hAnsiTheme="minorBidi"/>
          <w:i/>
          <w:iCs/>
          <w:color w:val="000000" w:themeColor="text1"/>
          <w:sz w:val="24"/>
          <w:szCs w:val="24"/>
          <w:shd w:val="clear" w:color="auto" w:fill="FFFFFF"/>
        </w:rPr>
        <w:t>Revista Colombiana de Ciencias Hortícolas</w:t>
      </w:r>
      <w:r w:rsidRPr="0041265B">
        <w:rPr>
          <w:rFonts w:asciiTheme="minorBidi" w:hAnsiTheme="minorBidi"/>
          <w:color w:val="000000" w:themeColor="text1"/>
          <w:sz w:val="24"/>
          <w:szCs w:val="24"/>
          <w:shd w:val="clear" w:color="auto" w:fill="FFFFFF"/>
        </w:rPr>
        <w:t>, </w:t>
      </w:r>
      <w:r w:rsidRPr="0041265B">
        <w:rPr>
          <w:rFonts w:asciiTheme="minorBidi" w:hAnsiTheme="minorBidi"/>
          <w:i/>
          <w:iCs/>
          <w:color w:val="000000" w:themeColor="text1"/>
          <w:sz w:val="24"/>
          <w:szCs w:val="24"/>
          <w:shd w:val="clear" w:color="auto" w:fill="FFFFFF"/>
        </w:rPr>
        <w:t>17</w:t>
      </w:r>
      <w:r w:rsidRPr="0041265B">
        <w:rPr>
          <w:rFonts w:asciiTheme="minorBidi" w:hAnsiTheme="minorBidi"/>
          <w:color w:val="000000" w:themeColor="text1"/>
          <w:sz w:val="24"/>
          <w:szCs w:val="24"/>
          <w:shd w:val="clear" w:color="auto" w:fill="FFFFFF"/>
        </w:rPr>
        <w:t>(3).</w:t>
      </w:r>
    </w:p>
    <w:p w14:paraId="4A3697C9" w14:textId="5C6934F7" w:rsidR="00100EFF" w:rsidRDefault="00100EFF" w:rsidP="002B16A3">
      <w:pPr>
        <w:spacing w:after="0" w:line="276" w:lineRule="auto"/>
        <w:rPr>
          <w:rFonts w:asciiTheme="minorBidi" w:hAnsiTheme="minorBidi"/>
          <w:sz w:val="24"/>
          <w:szCs w:val="24"/>
          <w:lang w:val="en-US"/>
        </w:rPr>
      </w:pPr>
      <w:r w:rsidRPr="00100EFF">
        <w:rPr>
          <w:rFonts w:asciiTheme="minorBidi" w:hAnsiTheme="minorBidi"/>
          <w:sz w:val="24"/>
          <w:szCs w:val="24"/>
        </w:rPr>
        <w:t xml:space="preserve">Reyes, L. M., Landgraf, M., &amp; Sobral, P. J. A. (2021). </w:t>
      </w:r>
      <w:r w:rsidRPr="00100EFF">
        <w:rPr>
          <w:rFonts w:asciiTheme="minorBidi" w:hAnsiTheme="minorBidi"/>
          <w:sz w:val="24"/>
          <w:szCs w:val="24"/>
          <w:lang w:val="en-US"/>
        </w:rPr>
        <w:t xml:space="preserve">Gelatin-based films activated with red propolis ethanolic extract and essential oils. Food Packaging and Shelf Life, 27, 100607. </w:t>
      </w:r>
      <w:hyperlink r:id="rId15" w:history="1">
        <w:r w:rsidRPr="009C51E6">
          <w:rPr>
            <w:rStyle w:val="Hipervnculo"/>
            <w:rFonts w:asciiTheme="minorBidi" w:hAnsiTheme="minorBidi"/>
            <w:sz w:val="24"/>
            <w:szCs w:val="24"/>
            <w:lang w:val="en-US"/>
          </w:rPr>
          <w:t>https://doi.org/10.1016/j.fpsl.2020.100607</w:t>
        </w:r>
      </w:hyperlink>
    </w:p>
    <w:p w14:paraId="716537E2" w14:textId="0AD93799" w:rsidR="00800C23" w:rsidRPr="00992576" w:rsidRDefault="00F40B78" w:rsidP="002B16A3">
      <w:pPr>
        <w:spacing w:after="0" w:line="276" w:lineRule="auto"/>
        <w:rPr>
          <w:rFonts w:asciiTheme="minorBidi" w:hAnsiTheme="minorBidi"/>
          <w:sz w:val="24"/>
          <w:szCs w:val="24"/>
        </w:rPr>
      </w:pPr>
      <w:r w:rsidRPr="00992576">
        <w:rPr>
          <w:rFonts w:asciiTheme="minorBidi" w:hAnsiTheme="minorBidi"/>
          <w:sz w:val="24"/>
          <w:szCs w:val="24"/>
          <w:lang w:val="en-US"/>
        </w:rPr>
        <w:t xml:space="preserve">Savary, S., Ficke, A., Aubertot, J. N., &amp; Hollier, C. (2012). Crop losses due to diseases and their implications for global food production losses and food security. </w:t>
      </w:r>
      <w:r w:rsidRPr="00992576">
        <w:rPr>
          <w:rFonts w:asciiTheme="minorBidi" w:hAnsiTheme="minorBidi"/>
          <w:sz w:val="24"/>
          <w:szCs w:val="24"/>
        </w:rPr>
        <w:t>Food security, 4(4), 519-537.</w:t>
      </w:r>
    </w:p>
    <w:p w14:paraId="4EBD8507" w14:textId="2CA1BD13" w:rsidR="00E67757" w:rsidRPr="006F6B09" w:rsidRDefault="00E67757" w:rsidP="002B16A3">
      <w:pPr>
        <w:spacing w:after="0" w:line="276" w:lineRule="auto"/>
        <w:rPr>
          <w:rFonts w:asciiTheme="minorBidi" w:hAnsiTheme="minorBidi"/>
          <w:sz w:val="24"/>
          <w:szCs w:val="24"/>
          <w:lang w:val="pt-BR"/>
        </w:rPr>
      </w:pPr>
      <w:r w:rsidRPr="00992576">
        <w:rPr>
          <w:rFonts w:asciiTheme="minorBidi" w:hAnsiTheme="minorBidi"/>
          <w:sz w:val="24"/>
          <w:szCs w:val="24"/>
        </w:rPr>
        <w:t xml:space="preserve">Trujillo, J. J., Gutiérrez, V. H., Leal, L. C. S., &amp; Quintero, L. S. F. (2021). Alternativas de control biorracionales sobre Phytophthora infestans, fitopatógeno causante de la gota en papa. </w:t>
      </w:r>
      <w:r w:rsidRPr="006F6B09">
        <w:rPr>
          <w:rFonts w:asciiTheme="minorBidi" w:hAnsiTheme="minorBidi"/>
          <w:sz w:val="24"/>
          <w:szCs w:val="24"/>
          <w:lang w:val="pt-BR"/>
        </w:rPr>
        <w:t>REVISTA NOVA, 19(36).</w:t>
      </w:r>
    </w:p>
    <w:p w14:paraId="5692756C" w14:textId="3BAD4E58" w:rsidR="00992576" w:rsidRDefault="00992576" w:rsidP="002B16A3">
      <w:pPr>
        <w:shd w:val="clear" w:color="auto" w:fill="FFFFFF"/>
        <w:spacing w:after="0" w:line="276" w:lineRule="auto"/>
        <w:jc w:val="both"/>
        <w:rPr>
          <w:rFonts w:asciiTheme="minorBidi" w:hAnsiTheme="minorBidi"/>
          <w:color w:val="505050"/>
          <w:sz w:val="24"/>
          <w:szCs w:val="24"/>
          <w:shd w:val="clear" w:color="auto" w:fill="FFFFFF"/>
          <w:lang w:val="en-US"/>
        </w:rPr>
      </w:pPr>
      <w:r w:rsidRPr="006F6B09">
        <w:rPr>
          <w:rFonts w:asciiTheme="minorBidi" w:hAnsiTheme="minorBidi"/>
          <w:color w:val="000000" w:themeColor="text1"/>
          <w:sz w:val="24"/>
          <w:szCs w:val="24"/>
          <w:shd w:val="clear" w:color="auto" w:fill="FFFFFF"/>
          <w:lang w:val="pt-BR"/>
        </w:rPr>
        <w:t xml:space="preserve">Vaou, N., Stavropoulou, E., Voidarou, C., Tsakris, Z., Rozos, G., Tsigalou, C., &amp; Bezirtzoglou, E. (2022). </w:t>
      </w:r>
      <w:r w:rsidRPr="00992576">
        <w:rPr>
          <w:rFonts w:asciiTheme="minorBidi" w:hAnsiTheme="minorBidi"/>
          <w:color w:val="000000" w:themeColor="text1"/>
          <w:sz w:val="24"/>
          <w:szCs w:val="24"/>
          <w:shd w:val="clear" w:color="auto" w:fill="FFFFFF"/>
          <w:lang w:val="en-US"/>
        </w:rPr>
        <w:t>Interactions between Medical Plant-Derived Bioactive Compounds: Focus on Antimicrobial Combination Effects. </w:t>
      </w:r>
      <w:r w:rsidRPr="00992576">
        <w:rPr>
          <w:rFonts w:asciiTheme="minorBidi" w:hAnsiTheme="minorBidi"/>
          <w:i/>
          <w:iCs/>
          <w:color w:val="000000" w:themeColor="text1"/>
          <w:sz w:val="24"/>
          <w:szCs w:val="24"/>
          <w:shd w:val="clear" w:color="auto" w:fill="FFFFFF"/>
          <w:lang w:val="en-US"/>
        </w:rPr>
        <w:t>Antibiotics</w:t>
      </w:r>
      <w:r w:rsidRPr="00992576">
        <w:rPr>
          <w:rFonts w:asciiTheme="minorBidi" w:hAnsiTheme="minorBidi"/>
          <w:color w:val="000000" w:themeColor="text1"/>
          <w:sz w:val="24"/>
          <w:szCs w:val="24"/>
          <w:shd w:val="clear" w:color="auto" w:fill="FFFFFF"/>
          <w:lang w:val="en-US"/>
        </w:rPr>
        <w:t xml:space="preserve">. </w:t>
      </w:r>
      <w:hyperlink r:id="rId16" w:history="1">
        <w:r w:rsidRPr="004F4B81">
          <w:rPr>
            <w:rStyle w:val="Hipervnculo"/>
            <w:rFonts w:asciiTheme="minorBidi" w:hAnsiTheme="minorBidi"/>
            <w:sz w:val="24"/>
            <w:szCs w:val="24"/>
            <w:shd w:val="clear" w:color="auto" w:fill="FFFFFF"/>
            <w:lang w:val="en-US"/>
          </w:rPr>
          <w:t>https://doi.org/10.3390/antibiotics11081014</w:t>
        </w:r>
      </w:hyperlink>
    </w:p>
    <w:p w14:paraId="2AFD22C6" w14:textId="15EBA6AB" w:rsidR="006F14CE" w:rsidRDefault="00992576" w:rsidP="002B16A3">
      <w:pPr>
        <w:shd w:val="clear" w:color="auto" w:fill="FFFFFF"/>
        <w:spacing w:after="0" w:line="276" w:lineRule="auto"/>
        <w:jc w:val="both"/>
        <w:rPr>
          <w:rFonts w:asciiTheme="minorBidi" w:eastAsia="Times New Roman" w:hAnsiTheme="minorBidi"/>
          <w:color w:val="212529"/>
          <w:sz w:val="24"/>
          <w:szCs w:val="24"/>
          <w:lang w:val="en-US" w:eastAsia="es-CO"/>
        </w:rPr>
      </w:pPr>
      <w:r w:rsidRPr="00992576">
        <w:rPr>
          <w:rFonts w:asciiTheme="minorBidi" w:eastAsia="Times New Roman" w:hAnsiTheme="minorBidi"/>
          <w:color w:val="000000" w:themeColor="text1"/>
          <w:sz w:val="24"/>
          <w:szCs w:val="24"/>
          <w:lang w:val="en-US" w:eastAsia="es-CO"/>
        </w:rPr>
        <w:t xml:space="preserve">Virrey, E. C. (2023). Antifungal activity of Citronella essential oil against stem-end rot of mango. Journal of Applied Horticulture. </w:t>
      </w:r>
      <w:hyperlink r:id="rId17" w:history="1">
        <w:r w:rsidRPr="004F4B81">
          <w:rPr>
            <w:rStyle w:val="Hipervnculo"/>
            <w:rFonts w:asciiTheme="minorBidi" w:eastAsia="Times New Roman" w:hAnsiTheme="minorBidi"/>
            <w:sz w:val="24"/>
            <w:szCs w:val="24"/>
            <w:lang w:val="en-US" w:eastAsia="es-CO"/>
          </w:rPr>
          <w:t>https://doi.org/10.37855/jah.2023.v25i02.23</w:t>
        </w:r>
      </w:hyperlink>
    </w:p>
    <w:p w14:paraId="3A319A50" w14:textId="0B50A885" w:rsidR="005E5401" w:rsidRDefault="00992576" w:rsidP="002B16A3">
      <w:pPr>
        <w:shd w:val="clear" w:color="auto" w:fill="FFFFFF"/>
        <w:spacing w:after="0" w:line="276" w:lineRule="auto"/>
        <w:jc w:val="both"/>
        <w:rPr>
          <w:rFonts w:asciiTheme="minorBidi" w:hAnsiTheme="minorBidi"/>
          <w:color w:val="505050"/>
          <w:sz w:val="24"/>
          <w:szCs w:val="24"/>
          <w:shd w:val="clear" w:color="auto" w:fill="FFFFFF"/>
          <w:lang w:val="en-US"/>
        </w:rPr>
      </w:pPr>
      <w:r w:rsidRPr="00324F55">
        <w:rPr>
          <w:rFonts w:asciiTheme="minorBidi" w:hAnsiTheme="minorBidi"/>
          <w:color w:val="000000" w:themeColor="text1"/>
          <w:sz w:val="24"/>
          <w:szCs w:val="24"/>
          <w:shd w:val="clear" w:color="auto" w:fill="FFFFFF"/>
          <w:lang w:val="pt-PT"/>
        </w:rPr>
        <w:t xml:space="preserve">Zhou, A., Li, R., Mo, F., Ding, Y.-B., Li, R., Guo, X., Hu, K., &amp; Li, M. (2022). </w:t>
      </w:r>
      <w:r w:rsidRPr="00992576">
        <w:rPr>
          <w:rFonts w:asciiTheme="minorBidi" w:hAnsiTheme="minorBidi"/>
          <w:color w:val="000000" w:themeColor="text1"/>
          <w:sz w:val="24"/>
          <w:szCs w:val="24"/>
          <w:shd w:val="clear" w:color="auto" w:fill="FFFFFF"/>
          <w:lang w:val="en-US"/>
        </w:rPr>
        <w:t xml:space="preserve">Natural Product Citronellal can Significantly Disturb Chitin Synthesis and Cell Wall Integrity in Magnaporthe oryzae. Journal of Fungi, 8(12), 1310. </w:t>
      </w:r>
      <w:hyperlink r:id="rId18" w:history="1">
        <w:r w:rsidRPr="004F4B81">
          <w:rPr>
            <w:rStyle w:val="Hipervnculo"/>
            <w:rFonts w:asciiTheme="minorBidi" w:hAnsiTheme="minorBidi"/>
            <w:sz w:val="24"/>
            <w:szCs w:val="24"/>
            <w:shd w:val="clear" w:color="auto" w:fill="FFFFFF"/>
            <w:lang w:val="en-US"/>
          </w:rPr>
          <w:t>https://doi.org/10.3390/jof8121310</w:t>
        </w:r>
      </w:hyperlink>
    </w:p>
    <w:p w14:paraId="4AA41B9A" w14:textId="77777777" w:rsidR="00992576" w:rsidRPr="00992576" w:rsidRDefault="00992576" w:rsidP="002B16A3">
      <w:pPr>
        <w:shd w:val="clear" w:color="auto" w:fill="FFFFFF"/>
        <w:spacing w:after="0" w:line="276" w:lineRule="auto"/>
        <w:jc w:val="both"/>
        <w:rPr>
          <w:rFonts w:asciiTheme="minorBidi" w:hAnsiTheme="minorBidi"/>
          <w:color w:val="505050"/>
          <w:sz w:val="24"/>
          <w:szCs w:val="24"/>
          <w:shd w:val="clear" w:color="auto" w:fill="FFFFFF"/>
          <w:lang w:val="en-US"/>
        </w:rPr>
      </w:pPr>
    </w:p>
    <w:p w14:paraId="18F8FC5A" w14:textId="77777777" w:rsidR="001E1828" w:rsidRPr="00992576" w:rsidRDefault="001E1828" w:rsidP="002B16A3">
      <w:pPr>
        <w:shd w:val="clear" w:color="auto" w:fill="FFFFFF"/>
        <w:spacing w:after="0" w:line="276" w:lineRule="auto"/>
        <w:jc w:val="both"/>
        <w:rPr>
          <w:rFonts w:asciiTheme="minorBidi" w:hAnsiTheme="minorBidi"/>
          <w:color w:val="505050"/>
          <w:sz w:val="24"/>
          <w:szCs w:val="24"/>
          <w:shd w:val="clear" w:color="auto" w:fill="FFFFFF"/>
        </w:rPr>
      </w:pPr>
    </w:p>
    <w:p w14:paraId="66740373" w14:textId="77777777" w:rsidR="006F14CE" w:rsidRPr="00992576" w:rsidRDefault="006F14CE" w:rsidP="002B16A3">
      <w:pPr>
        <w:shd w:val="clear" w:color="auto" w:fill="FFFFFF"/>
        <w:spacing w:after="0" w:line="276" w:lineRule="auto"/>
        <w:jc w:val="both"/>
        <w:rPr>
          <w:rFonts w:asciiTheme="minorBidi" w:eastAsia="Times New Roman" w:hAnsiTheme="minorBidi"/>
          <w:color w:val="212529"/>
          <w:sz w:val="24"/>
          <w:szCs w:val="24"/>
          <w:lang w:eastAsia="es-CO"/>
        </w:rPr>
      </w:pPr>
    </w:p>
    <w:p w14:paraId="531AE592" w14:textId="77777777" w:rsidR="00E67757" w:rsidRPr="00992576" w:rsidRDefault="00E67757" w:rsidP="002B16A3">
      <w:pPr>
        <w:spacing w:after="0" w:line="276" w:lineRule="auto"/>
        <w:rPr>
          <w:rFonts w:asciiTheme="minorBidi" w:hAnsiTheme="minorBidi"/>
          <w:sz w:val="24"/>
          <w:szCs w:val="24"/>
        </w:rPr>
      </w:pPr>
    </w:p>
    <w:sectPr w:rsidR="00E67757" w:rsidRPr="00992576">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55B38" w14:textId="77777777" w:rsidR="00A5361B" w:rsidRDefault="00A5361B" w:rsidP="007A61C1">
      <w:pPr>
        <w:spacing w:after="0" w:line="240" w:lineRule="auto"/>
      </w:pPr>
      <w:r>
        <w:separator/>
      </w:r>
    </w:p>
  </w:endnote>
  <w:endnote w:type="continuationSeparator" w:id="0">
    <w:p w14:paraId="635E958B" w14:textId="77777777" w:rsidR="00A5361B" w:rsidRDefault="00A5361B"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6869" w14:textId="77777777" w:rsidR="00A5361B" w:rsidRDefault="00A5361B" w:rsidP="007A61C1">
      <w:pPr>
        <w:spacing w:after="0" w:line="240" w:lineRule="auto"/>
      </w:pPr>
      <w:r>
        <w:separator/>
      </w:r>
    </w:p>
  </w:footnote>
  <w:footnote w:type="continuationSeparator" w:id="0">
    <w:p w14:paraId="4C85E62F" w14:textId="77777777" w:rsidR="00A5361B" w:rsidRDefault="00A5361B"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177" w14:textId="77777777" w:rsidR="007A61C1" w:rsidRPr="00AE5D6C" w:rsidRDefault="00AE5D6C" w:rsidP="00AE5D6C">
    <w:pPr>
      <w:pStyle w:val="Encabezado"/>
      <w:jc w:val="right"/>
      <w:rPr>
        <w:b/>
        <w:i/>
        <w:color w:val="00B0F0"/>
        <w:lang w:val="es-ES"/>
      </w:rPr>
    </w:pPr>
    <w:r w:rsidRPr="00AE5D6C">
      <w:rPr>
        <w:b/>
        <w:i/>
        <w:color w:val="00B0F0"/>
        <w:lang w:val="es-ES"/>
      </w:rPr>
      <w:t>Imagen (logo de la escuela)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00295"/>
    <w:rsid w:val="00045FE0"/>
    <w:rsid w:val="000633C3"/>
    <w:rsid w:val="000C008E"/>
    <w:rsid w:val="000F656C"/>
    <w:rsid w:val="0010032A"/>
    <w:rsid w:val="00100EFF"/>
    <w:rsid w:val="001045AF"/>
    <w:rsid w:val="00106CB0"/>
    <w:rsid w:val="00121F06"/>
    <w:rsid w:val="0012626B"/>
    <w:rsid w:val="0014002A"/>
    <w:rsid w:val="00154DD2"/>
    <w:rsid w:val="001636E5"/>
    <w:rsid w:val="00163F59"/>
    <w:rsid w:val="001854CA"/>
    <w:rsid w:val="00185EBE"/>
    <w:rsid w:val="0019037B"/>
    <w:rsid w:val="001E0CF5"/>
    <w:rsid w:val="001E1828"/>
    <w:rsid w:val="001F3CFA"/>
    <w:rsid w:val="002049F4"/>
    <w:rsid w:val="002131AA"/>
    <w:rsid w:val="00235B7B"/>
    <w:rsid w:val="00287BA3"/>
    <w:rsid w:val="002B16A3"/>
    <w:rsid w:val="002F225B"/>
    <w:rsid w:val="002F50D4"/>
    <w:rsid w:val="00324F55"/>
    <w:rsid w:val="0032766D"/>
    <w:rsid w:val="00385F34"/>
    <w:rsid w:val="003E157A"/>
    <w:rsid w:val="0040276E"/>
    <w:rsid w:val="0041265B"/>
    <w:rsid w:val="00416A0C"/>
    <w:rsid w:val="004250C6"/>
    <w:rsid w:val="00426F86"/>
    <w:rsid w:val="004702AD"/>
    <w:rsid w:val="0049377D"/>
    <w:rsid w:val="004A0BCC"/>
    <w:rsid w:val="004B46C6"/>
    <w:rsid w:val="004D6338"/>
    <w:rsid w:val="004E23CF"/>
    <w:rsid w:val="004E6398"/>
    <w:rsid w:val="00531FEC"/>
    <w:rsid w:val="005331CB"/>
    <w:rsid w:val="005347F4"/>
    <w:rsid w:val="005611A6"/>
    <w:rsid w:val="005678F9"/>
    <w:rsid w:val="00572A38"/>
    <w:rsid w:val="005873AA"/>
    <w:rsid w:val="00595A9E"/>
    <w:rsid w:val="005B2022"/>
    <w:rsid w:val="005B7561"/>
    <w:rsid w:val="005D58BE"/>
    <w:rsid w:val="005E5401"/>
    <w:rsid w:val="00632BB1"/>
    <w:rsid w:val="0064568C"/>
    <w:rsid w:val="00647CDF"/>
    <w:rsid w:val="006800FB"/>
    <w:rsid w:val="006909A0"/>
    <w:rsid w:val="00692F37"/>
    <w:rsid w:val="006E5C8E"/>
    <w:rsid w:val="006F14CE"/>
    <w:rsid w:val="006F6B09"/>
    <w:rsid w:val="006F7A4D"/>
    <w:rsid w:val="00716087"/>
    <w:rsid w:val="007741EE"/>
    <w:rsid w:val="00783327"/>
    <w:rsid w:val="007A61C1"/>
    <w:rsid w:val="007C78DA"/>
    <w:rsid w:val="007F2AE7"/>
    <w:rsid w:val="00800052"/>
    <w:rsid w:val="00800C23"/>
    <w:rsid w:val="008076DC"/>
    <w:rsid w:val="008A0ECB"/>
    <w:rsid w:val="008B6494"/>
    <w:rsid w:val="008D1FAA"/>
    <w:rsid w:val="008D401A"/>
    <w:rsid w:val="008E5921"/>
    <w:rsid w:val="008F6A61"/>
    <w:rsid w:val="0090145A"/>
    <w:rsid w:val="00927DCD"/>
    <w:rsid w:val="00931F5D"/>
    <w:rsid w:val="009335E1"/>
    <w:rsid w:val="00992576"/>
    <w:rsid w:val="009B5724"/>
    <w:rsid w:val="009D3FE3"/>
    <w:rsid w:val="00A17C42"/>
    <w:rsid w:val="00A5361B"/>
    <w:rsid w:val="00A552F9"/>
    <w:rsid w:val="00A7595A"/>
    <w:rsid w:val="00A97E54"/>
    <w:rsid w:val="00AC0CBC"/>
    <w:rsid w:val="00AD0741"/>
    <w:rsid w:val="00AE5D6C"/>
    <w:rsid w:val="00AF429F"/>
    <w:rsid w:val="00B139A1"/>
    <w:rsid w:val="00B603F5"/>
    <w:rsid w:val="00B90EFF"/>
    <w:rsid w:val="00B96626"/>
    <w:rsid w:val="00BB0E57"/>
    <w:rsid w:val="00BD7869"/>
    <w:rsid w:val="00C25196"/>
    <w:rsid w:val="00C27062"/>
    <w:rsid w:val="00C54ECF"/>
    <w:rsid w:val="00C55131"/>
    <w:rsid w:val="00CA5B3D"/>
    <w:rsid w:val="00CB1043"/>
    <w:rsid w:val="00D046A2"/>
    <w:rsid w:val="00D34235"/>
    <w:rsid w:val="00D35C4D"/>
    <w:rsid w:val="00D366FC"/>
    <w:rsid w:val="00D87D01"/>
    <w:rsid w:val="00DA5551"/>
    <w:rsid w:val="00DD0170"/>
    <w:rsid w:val="00DD253D"/>
    <w:rsid w:val="00DD34CA"/>
    <w:rsid w:val="00E12D11"/>
    <w:rsid w:val="00E225F4"/>
    <w:rsid w:val="00E400BC"/>
    <w:rsid w:val="00E44BFF"/>
    <w:rsid w:val="00E463AD"/>
    <w:rsid w:val="00E67112"/>
    <w:rsid w:val="00E67757"/>
    <w:rsid w:val="00E71CFF"/>
    <w:rsid w:val="00E83FC1"/>
    <w:rsid w:val="00EB6EEB"/>
    <w:rsid w:val="00F3009A"/>
    <w:rsid w:val="00F40B78"/>
    <w:rsid w:val="00F9604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E67757"/>
    <w:rPr>
      <w:color w:val="0000FF"/>
      <w:u w:val="single"/>
    </w:rPr>
  </w:style>
  <w:style w:type="character" w:styleId="Mencinsinresolver">
    <w:name w:val="Unresolved Mention"/>
    <w:basedOn w:val="Fuentedeprrafopredeter"/>
    <w:uiPriority w:val="99"/>
    <w:semiHidden/>
    <w:unhideWhenUsed/>
    <w:rsid w:val="006F14CE"/>
    <w:rPr>
      <w:color w:val="605E5C"/>
      <w:shd w:val="clear" w:color="auto" w:fill="E1DFDD"/>
    </w:rPr>
  </w:style>
  <w:style w:type="character" w:styleId="nfasis">
    <w:name w:val="Emphasis"/>
    <w:basedOn w:val="Fuentedeprrafopredeter"/>
    <w:uiPriority w:val="20"/>
    <w:qFormat/>
    <w:rsid w:val="00163F59"/>
    <w:rPr>
      <w:i/>
      <w:iCs/>
    </w:rPr>
  </w:style>
  <w:style w:type="paragraph" w:styleId="Prrafodelista">
    <w:name w:val="List Paragraph"/>
    <w:basedOn w:val="Normal"/>
    <w:uiPriority w:val="34"/>
    <w:qFormat/>
    <w:rsid w:val="00AC0CBC"/>
    <w:pPr>
      <w:ind w:left="720"/>
      <w:contextualSpacing/>
    </w:pPr>
  </w:style>
  <w:style w:type="paragraph" w:customStyle="1" w:styleId="paragraph">
    <w:name w:val="paragraph"/>
    <w:basedOn w:val="Normal"/>
    <w:rsid w:val="004250C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Revisin">
    <w:name w:val="Revision"/>
    <w:hidden/>
    <w:uiPriority w:val="99"/>
    <w:semiHidden/>
    <w:rsid w:val="00324F55"/>
    <w:pPr>
      <w:spacing w:after="0" w:line="240" w:lineRule="auto"/>
    </w:pPr>
  </w:style>
  <w:style w:type="character" w:styleId="Refdecomentario">
    <w:name w:val="annotation reference"/>
    <w:basedOn w:val="Fuentedeprrafopredeter"/>
    <w:uiPriority w:val="99"/>
    <w:semiHidden/>
    <w:unhideWhenUsed/>
    <w:rsid w:val="00DA5551"/>
    <w:rPr>
      <w:sz w:val="16"/>
      <w:szCs w:val="16"/>
    </w:rPr>
  </w:style>
  <w:style w:type="paragraph" w:styleId="Textocomentario">
    <w:name w:val="annotation text"/>
    <w:basedOn w:val="Normal"/>
    <w:link w:val="TextocomentarioCar"/>
    <w:uiPriority w:val="99"/>
    <w:unhideWhenUsed/>
    <w:rsid w:val="00DA5551"/>
    <w:pPr>
      <w:spacing w:line="240" w:lineRule="auto"/>
    </w:pPr>
    <w:rPr>
      <w:sz w:val="20"/>
      <w:szCs w:val="20"/>
    </w:rPr>
  </w:style>
  <w:style w:type="character" w:customStyle="1" w:styleId="TextocomentarioCar">
    <w:name w:val="Texto comentario Car"/>
    <w:basedOn w:val="Fuentedeprrafopredeter"/>
    <w:link w:val="Textocomentario"/>
    <w:uiPriority w:val="99"/>
    <w:rsid w:val="00DA5551"/>
    <w:rPr>
      <w:sz w:val="20"/>
      <w:szCs w:val="20"/>
    </w:rPr>
  </w:style>
  <w:style w:type="paragraph" w:styleId="Asuntodelcomentario">
    <w:name w:val="annotation subject"/>
    <w:basedOn w:val="Textocomentario"/>
    <w:next w:val="Textocomentario"/>
    <w:link w:val="AsuntodelcomentarioCar"/>
    <w:uiPriority w:val="99"/>
    <w:semiHidden/>
    <w:unhideWhenUsed/>
    <w:rsid w:val="00DA5551"/>
    <w:rPr>
      <w:b/>
      <w:bCs/>
    </w:rPr>
  </w:style>
  <w:style w:type="character" w:customStyle="1" w:styleId="AsuntodelcomentarioCar">
    <w:name w:val="Asunto del comentario Car"/>
    <w:basedOn w:val="TextocomentarioCar"/>
    <w:link w:val="Asuntodelcomentario"/>
    <w:uiPriority w:val="99"/>
    <w:semiHidden/>
    <w:rsid w:val="00DA5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42124">
      <w:bodyDiv w:val="1"/>
      <w:marLeft w:val="0"/>
      <w:marRight w:val="0"/>
      <w:marTop w:val="0"/>
      <w:marBottom w:val="0"/>
      <w:divBdr>
        <w:top w:val="none" w:sz="0" w:space="0" w:color="auto"/>
        <w:left w:val="none" w:sz="0" w:space="0" w:color="auto"/>
        <w:bottom w:val="none" w:sz="0" w:space="0" w:color="auto"/>
        <w:right w:val="none" w:sz="0" w:space="0" w:color="auto"/>
      </w:divBdr>
    </w:div>
    <w:div w:id="703215568">
      <w:bodyDiv w:val="1"/>
      <w:marLeft w:val="0"/>
      <w:marRight w:val="0"/>
      <w:marTop w:val="0"/>
      <w:marBottom w:val="0"/>
      <w:divBdr>
        <w:top w:val="none" w:sz="0" w:space="0" w:color="auto"/>
        <w:left w:val="none" w:sz="0" w:space="0" w:color="auto"/>
        <w:bottom w:val="none" w:sz="0" w:space="0" w:color="auto"/>
        <w:right w:val="none" w:sz="0" w:space="0" w:color="auto"/>
      </w:divBdr>
    </w:div>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923682653">
      <w:bodyDiv w:val="1"/>
      <w:marLeft w:val="0"/>
      <w:marRight w:val="0"/>
      <w:marTop w:val="0"/>
      <w:marBottom w:val="0"/>
      <w:divBdr>
        <w:top w:val="none" w:sz="0" w:space="0" w:color="auto"/>
        <w:left w:val="none" w:sz="0" w:space="0" w:color="auto"/>
        <w:bottom w:val="none" w:sz="0" w:space="0" w:color="auto"/>
        <w:right w:val="none" w:sz="0" w:space="0" w:color="auto"/>
      </w:divBdr>
      <w:divsChild>
        <w:div w:id="237786503">
          <w:marLeft w:val="0"/>
          <w:marRight w:val="0"/>
          <w:marTop w:val="0"/>
          <w:marBottom w:val="480"/>
          <w:divBdr>
            <w:top w:val="single" w:sz="6" w:space="0" w:color="auto"/>
            <w:left w:val="single" w:sz="6" w:space="0" w:color="auto"/>
            <w:bottom w:val="single" w:sz="6" w:space="0" w:color="auto"/>
            <w:right w:val="single" w:sz="6" w:space="0" w:color="auto"/>
          </w:divBdr>
          <w:divsChild>
            <w:div w:id="1660768706">
              <w:marLeft w:val="0"/>
              <w:marRight w:val="0"/>
              <w:marTop w:val="0"/>
              <w:marBottom w:val="0"/>
              <w:divBdr>
                <w:top w:val="none" w:sz="0" w:space="0" w:color="auto"/>
                <w:left w:val="none" w:sz="0" w:space="0" w:color="auto"/>
                <w:bottom w:val="none" w:sz="0" w:space="0" w:color="auto"/>
                <w:right w:val="none" w:sz="0" w:space="0" w:color="auto"/>
              </w:divBdr>
              <w:divsChild>
                <w:div w:id="504634049">
                  <w:marLeft w:val="0"/>
                  <w:marRight w:val="0"/>
                  <w:marTop w:val="0"/>
                  <w:marBottom w:val="0"/>
                  <w:divBdr>
                    <w:top w:val="none" w:sz="0" w:space="0" w:color="auto"/>
                    <w:left w:val="none" w:sz="0" w:space="0" w:color="auto"/>
                    <w:bottom w:val="none" w:sz="0" w:space="0" w:color="auto"/>
                    <w:right w:val="none" w:sz="0" w:space="0" w:color="auto"/>
                  </w:divBdr>
                  <w:divsChild>
                    <w:div w:id="800459067">
                      <w:marLeft w:val="0"/>
                      <w:marRight w:val="0"/>
                      <w:marTop w:val="0"/>
                      <w:marBottom w:val="0"/>
                      <w:divBdr>
                        <w:top w:val="none" w:sz="0" w:space="0" w:color="auto"/>
                        <w:left w:val="none" w:sz="0" w:space="0" w:color="auto"/>
                        <w:bottom w:val="none" w:sz="0" w:space="0" w:color="auto"/>
                        <w:right w:val="none" w:sz="0" w:space="0" w:color="auto"/>
                      </w:divBdr>
                      <w:divsChild>
                        <w:div w:id="19908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784203">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 w:id="1741246417">
      <w:bodyDiv w:val="1"/>
      <w:marLeft w:val="0"/>
      <w:marRight w:val="0"/>
      <w:marTop w:val="0"/>
      <w:marBottom w:val="0"/>
      <w:divBdr>
        <w:top w:val="none" w:sz="0" w:space="0" w:color="auto"/>
        <w:left w:val="none" w:sz="0" w:space="0" w:color="auto"/>
        <w:bottom w:val="none" w:sz="0" w:space="0" w:color="auto"/>
        <w:right w:val="none" w:sz="0" w:space="0" w:color="auto"/>
      </w:divBdr>
    </w:div>
    <w:div w:id="17695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dl.handle.net/10495/3907" TargetMode="External"/><Relationship Id="rId18" Type="http://schemas.openxmlformats.org/officeDocument/2006/relationships/hyperlink" Target="https://doi.org/10.3390/jof812131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evistas.universidadmayor.edu.co/index.php/nova/article/view/1832" TargetMode="External"/><Relationship Id="rId17" Type="http://schemas.openxmlformats.org/officeDocument/2006/relationships/hyperlink" Target="https://doi.org/10.37855/jah.2023.v25i02.23" TargetMode="External"/><Relationship Id="rId2" Type="http://schemas.openxmlformats.org/officeDocument/2006/relationships/customXml" Target="../customXml/item2.xml"/><Relationship Id="rId16" Type="http://schemas.openxmlformats.org/officeDocument/2006/relationships/hyperlink" Target="https://doi.org/10.3390/antibiotics110810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0300908425001166" TargetMode="External"/><Relationship Id="rId5" Type="http://schemas.openxmlformats.org/officeDocument/2006/relationships/settings" Target="settings.xml"/><Relationship Id="rId15" Type="http://schemas.openxmlformats.org/officeDocument/2006/relationships/hyperlink" Target="https://doi.org/10.1016/j.fpsl.2020.100607" TargetMode="Externa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doi.org/10.1101/86071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nadvirtualedu-my.sharepoint.com/personal/leidyj_gomez_unad_edu_co/Documents/UNAD%202025/Opciones%20de%20grado/Diego%20Deossa_3354/MTT%202025%20-%20pectobacterium_%20resultado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unadvirtualedu-my.sharepoint.com/personal/leidyj_gomez_unad_edu_co/Documents/UNAD%202025/Opciones%20de%20grado/Diego%20Deossa_3354/MTT%202025%20-%20pectobacterium_%20resultado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36063579748847"/>
          <c:y val="6.0341599974152886E-2"/>
          <c:w val="0.85852776577631329"/>
          <c:h val="0.81977009375279153"/>
        </c:manualLayout>
      </c:layout>
      <c:barChart>
        <c:barDir val="col"/>
        <c:grouping val="clustered"/>
        <c:varyColors val="0"/>
        <c:ser>
          <c:idx val="2"/>
          <c:order val="0"/>
          <c:tx>
            <c:strRef>
              <c:f>Pectobacterium!$Q$78</c:f>
              <c:strCache>
                <c:ptCount val="1"/>
                <c:pt idx="0">
                  <c:v>Pectobacterium</c:v>
                </c:pt>
              </c:strCache>
            </c:strRef>
          </c:tx>
          <c:spPr>
            <a:noFill/>
            <a:ln>
              <a:solidFill>
                <a:schemeClr val="tx1"/>
              </a:solidFill>
            </a:ln>
            <a:effectLst/>
          </c:spPr>
          <c:invertIfNegative val="0"/>
          <c:errBars>
            <c:errBarType val="both"/>
            <c:errValType val="cust"/>
            <c:noEndCap val="0"/>
            <c:plus>
              <c:numRef>
                <c:f>Pectobacterium!$R$79:$R$88</c:f>
                <c:numCache>
                  <c:formatCode>General</c:formatCode>
                  <c:ptCount val="10"/>
                  <c:pt idx="0">
                    <c:v>6.0053666695789554</c:v>
                  </c:pt>
                  <c:pt idx="1">
                    <c:v>3.0822857259306411</c:v>
                  </c:pt>
                  <c:pt idx="2">
                    <c:v>0.28094453593057661</c:v>
                  </c:pt>
                  <c:pt idx="3">
                    <c:v>1.7205668674997026</c:v>
                  </c:pt>
                  <c:pt idx="4">
                    <c:v>6.6238077125170101</c:v>
                  </c:pt>
                  <c:pt idx="5">
                    <c:v>6.173032446511395</c:v>
                  </c:pt>
                  <c:pt idx="6">
                    <c:v>1.4569534442066738</c:v>
                  </c:pt>
                  <c:pt idx="7">
                    <c:v>1.9873430104655694</c:v>
                  </c:pt>
                  <c:pt idx="8">
                    <c:v>1.9179372729759134</c:v>
                  </c:pt>
                  <c:pt idx="9">
                    <c:v>2.1765927347052618</c:v>
                  </c:pt>
                </c:numCache>
              </c:numRef>
            </c:plus>
            <c:minus>
              <c:numRef>
                <c:f>Pectobacterium!$R$79:$R$88</c:f>
                <c:numCache>
                  <c:formatCode>General</c:formatCode>
                  <c:ptCount val="10"/>
                  <c:pt idx="0">
                    <c:v>6.0053666695789554</c:v>
                  </c:pt>
                  <c:pt idx="1">
                    <c:v>3.0822857259306411</c:v>
                  </c:pt>
                  <c:pt idx="2">
                    <c:v>0.28094453593057661</c:v>
                  </c:pt>
                  <c:pt idx="3">
                    <c:v>1.7205668674997026</c:v>
                  </c:pt>
                  <c:pt idx="4">
                    <c:v>6.6238077125170101</c:v>
                  </c:pt>
                  <c:pt idx="5">
                    <c:v>6.173032446511395</c:v>
                  </c:pt>
                  <c:pt idx="6">
                    <c:v>1.4569534442066738</c:v>
                  </c:pt>
                  <c:pt idx="7">
                    <c:v>1.9873430104655694</c:v>
                  </c:pt>
                  <c:pt idx="8">
                    <c:v>1.9179372729759134</c:v>
                  </c:pt>
                  <c:pt idx="9">
                    <c:v>2.1765927347052618</c:v>
                  </c:pt>
                </c:numCache>
              </c:numRef>
            </c:minus>
            <c:spPr>
              <a:noFill/>
              <a:ln w="9525" cap="flat" cmpd="sng" algn="ctr">
                <a:solidFill>
                  <a:schemeClr val="tx1">
                    <a:lumMod val="65000"/>
                    <a:lumOff val="35000"/>
                  </a:schemeClr>
                </a:solidFill>
                <a:round/>
              </a:ln>
              <a:effectLst/>
            </c:spPr>
          </c:errBars>
          <c:cat>
            <c:multiLvlStrRef>
              <c:f>Pectobacterium!$O$79:$P$91</c:f>
              <c:multiLvlStrCache>
                <c:ptCount val="13"/>
                <c:lvl>
                  <c:pt idx="0">
                    <c:v>6,00</c:v>
                  </c:pt>
                  <c:pt idx="1">
                    <c:v>3,00</c:v>
                  </c:pt>
                  <c:pt idx="2">
                    <c:v>1,50</c:v>
                  </c:pt>
                  <c:pt idx="3">
                    <c:v>0,75</c:v>
                  </c:pt>
                  <c:pt idx="4">
                    <c:v>0,38</c:v>
                  </c:pt>
                  <c:pt idx="5">
                    <c:v>6,00</c:v>
                  </c:pt>
                  <c:pt idx="6">
                    <c:v>3,00</c:v>
                  </c:pt>
                  <c:pt idx="7">
                    <c:v>1,50</c:v>
                  </c:pt>
                  <c:pt idx="8">
                    <c:v>0,75</c:v>
                  </c:pt>
                  <c:pt idx="9">
                    <c:v>0,38</c:v>
                  </c:pt>
                  <c:pt idx="10">
                    <c:v>MM</c:v>
                  </c:pt>
                  <c:pt idx="11">
                    <c:v>BA</c:v>
                  </c:pt>
                  <c:pt idx="12">
                    <c:v>MD</c:v>
                  </c:pt>
                </c:lvl>
                <c:lvl>
                  <c:pt idx="0">
                    <c:v>Cencetración PE (mg/mL)</c:v>
                  </c:pt>
                  <c:pt idx="5">
                    <c:v>Cencetración E (mg/mL)</c:v>
                  </c:pt>
                  <c:pt idx="10">
                    <c:v>Mezcla 1,5% Extracto + 0,6 mg/mL veneno</c:v>
                  </c:pt>
                </c:lvl>
              </c:multiLvlStrCache>
            </c:multiLvlStrRef>
          </c:cat>
          <c:val>
            <c:numRef>
              <c:f>Pectobacterium!$Q$79:$Q$88</c:f>
              <c:numCache>
                <c:formatCode>0.000</c:formatCode>
                <c:ptCount val="10"/>
                <c:pt idx="0">
                  <c:v>88.170310848497977</c:v>
                </c:pt>
                <c:pt idx="1">
                  <c:v>76.686362652336143</c:v>
                </c:pt>
                <c:pt idx="2">
                  <c:v>63.718211570542621</c:v>
                </c:pt>
                <c:pt idx="3">
                  <c:v>25.717269219504129</c:v>
                </c:pt>
                <c:pt idx="4">
                  <c:v>20.605651559336287</c:v>
                </c:pt>
                <c:pt idx="5">
                  <c:v>78.943548079004671</c:v>
                </c:pt>
                <c:pt idx="6">
                  <c:v>76.080838437734783</c:v>
                </c:pt>
                <c:pt idx="7">
                  <c:v>59.804907866084285</c:v>
                </c:pt>
                <c:pt idx="8">
                  <c:v>25.488048696626645</c:v>
                </c:pt>
                <c:pt idx="9">
                  <c:v>17.793879812039183</c:v>
                </c:pt>
              </c:numCache>
            </c:numRef>
          </c:val>
          <c:extLst>
            <c:ext xmlns:c16="http://schemas.microsoft.com/office/drawing/2014/chart" uri="{C3380CC4-5D6E-409C-BE32-E72D297353CC}">
              <c16:uniqueId val="{00000000-753C-4EE1-B257-AD0FD37C4350}"/>
            </c:ext>
          </c:extLst>
        </c:ser>
        <c:ser>
          <c:idx val="0"/>
          <c:order val="1"/>
          <c:tx>
            <c:strRef>
              <c:f>Pectobacterium!$S$78</c:f>
              <c:strCache>
                <c:ptCount val="1"/>
                <c:pt idx="0">
                  <c:v> X. campestris</c:v>
                </c:pt>
              </c:strCache>
            </c:strRef>
          </c:tx>
          <c:spPr>
            <a:pattFill prst="wdDnDiag">
              <a:fgClr>
                <a:schemeClr val="accent3">
                  <a:lumMod val="75000"/>
                </a:schemeClr>
              </a:fgClr>
              <a:bgClr>
                <a:schemeClr val="bg1"/>
              </a:bgClr>
            </a:pattFill>
            <a:ln>
              <a:solidFill>
                <a:schemeClr val="accent3">
                  <a:lumMod val="50000"/>
                </a:schemeClr>
              </a:solidFill>
            </a:ln>
            <a:effectLst/>
          </c:spPr>
          <c:invertIfNegative val="0"/>
          <c:errBars>
            <c:errBarType val="both"/>
            <c:errValType val="cust"/>
            <c:noEndCap val="0"/>
            <c:plus>
              <c:numRef>
                <c:f>Pectobacterium!$T$79:$T$88</c:f>
                <c:numCache>
                  <c:formatCode>General</c:formatCode>
                  <c:ptCount val="10"/>
                  <c:pt idx="0">
                    <c:v>0.87828881837672879</c:v>
                  </c:pt>
                  <c:pt idx="1">
                    <c:v>1.3340618207728925</c:v>
                  </c:pt>
                  <c:pt idx="2">
                    <c:v>7.8226967511175216</c:v>
                  </c:pt>
                  <c:pt idx="3">
                    <c:v>2.3796705025309701</c:v>
                  </c:pt>
                  <c:pt idx="4">
                    <c:v>0.69653453357178452</c:v>
                  </c:pt>
                  <c:pt idx="5">
                    <c:v>5.3935365237451505</c:v>
                  </c:pt>
                  <c:pt idx="6">
                    <c:v>0.41337055665464362</c:v>
                  </c:pt>
                  <c:pt idx="7">
                    <c:v>0.5269163169176142</c:v>
                  </c:pt>
                  <c:pt idx="8">
                    <c:v>5.6922996224751667</c:v>
                  </c:pt>
                  <c:pt idx="9">
                    <c:v>1.6060297728970332</c:v>
                  </c:pt>
                </c:numCache>
              </c:numRef>
            </c:plus>
            <c:minus>
              <c:numRef>
                <c:f>Pectobacterium!$T$79:$T$88</c:f>
                <c:numCache>
                  <c:formatCode>General</c:formatCode>
                  <c:ptCount val="10"/>
                  <c:pt idx="0">
                    <c:v>0.87828881837672879</c:v>
                  </c:pt>
                  <c:pt idx="1">
                    <c:v>1.3340618207728925</c:v>
                  </c:pt>
                  <c:pt idx="2">
                    <c:v>7.8226967511175216</c:v>
                  </c:pt>
                  <c:pt idx="3">
                    <c:v>2.3796705025309701</c:v>
                  </c:pt>
                  <c:pt idx="4">
                    <c:v>0.69653453357178452</c:v>
                  </c:pt>
                  <c:pt idx="5">
                    <c:v>5.3935365237451505</c:v>
                  </c:pt>
                  <c:pt idx="6">
                    <c:v>0.41337055665464362</c:v>
                  </c:pt>
                  <c:pt idx="7">
                    <c:v>0.5269163169176142</c:v>
                  </c:pt>
                  <c:pt idx="8">
                    <c:v>5.6922996224751667</c:v>
                  </c:pt>
                  <c:pt idx="9">
                    <c:v>1.6060297728970332</c:v>
                  </c:pt>
                </c:numCache>
              </c:numRef>
            </c:minus>
            <c:spPr>
              <a:noFill/>
              <a:ln w="9525" cap="flat" cmpd="sng" algn="ctr">
                <a:solidFill>
                  <a:schemeClr val="tx1">
                    <a:lumMod val="65000"/>
                    <a:lumOff val="35000"/>
                  </a:schemeClr>
                </a:solidFill>
                <a:round/>
              </a:ln>
              <a:effectLst/>
            </c:spPr>
          </c:errBars>
          <c:cat>
            <c:multiLvlStrRef>
              <c:f>Pectobacterium!$O$79:$P$91</c:f>
              <c:multiLvlStrCache>
                <c:ptCount val="13"/>
                <c:lvl>
                  <c:pt idx="0">
                    <c:v>6,00</c:v>
                  </c:pt>
                  <c:pt idx="1">
                    <c:v>3,00</c:v>
                  </c:pt>
                  <c:pt idx="2">
                    <c:v>1,50</c:v>
                  </c:pt>
                  <c:pt idx="3">
                    <c:v>0,75</c:v>
                  </c:pt>
                  <c:pt idx="4">
                    <c:v>0,38</c:v>
                  </c:pt>
                  <c:pt idx="5">
                    <c:v>6,00</c:v>
                  </c:pt>
                  <c:pt idx="6">
                    <c:v>3,00</c:v>
                  </c:pt>
                  <c:pt idx="7">
                    <c:v>1,50</c:v>
                  </c:pt>
                  <c:pt idx="8">
                    <c:v>0,75</c:v>
                  </c:pt>
                  <c:pt idx="9">
                    <c:v>0,38</c:v>
                  </c:pt>
                  <c:pt idx="10">
                    <c:v>MM</c:v>
                  </c:pt>
                  <c:pt idx="11">
                    <c:v>BA</c:v>
                  </c:pt>
                  <c:pt idx="12">
                    <c:v>MD</c:v>
                  </c:pt>
                </c:lvl>
                <c:lvl>
                  <c:pt idx="0">
                    <c:v>Cencetración PE (mg/mL)</c:v>
                  </c:pt>
                  <c:pt idx="5">
                    <c:v>Cencetración E (mg/mL)</c:v>
                  </c:pt>
                  <c:pt idx="10">
                    <c:v>Mezcla 1,5% Extracto + 0,6 mg/mL veneno</c:v>
                  </c:pt>
                </c:lvl>
              </c:multiLvlStrCache>
            </c:multiLvlStrRef>
          </c:cat>
          <c:val>
            <c:numRef>
              <c:f>Pectobacterium!$S$79:$S$88</c:f>
              <c:numCache>
                <c:formatCode>0.000</c:formatCode>
                <c:ptCount val="10"/>
                <c:pt idx="0">
                  <c:v>99.631744263411164</c:v>
                </c:pt>
                <c:pt idx="1">
                  <c:v>99.684352225780984</c:v>
                </c:pt>
                <c:pt idx="2">
                  <c:v>81.483544538829307</c:v>
                </c:pt>
                <c:pt idx="3">
                  <c:v>34.238499744696654</c:v>
                </c:pt>
                <c:pt idx="4">
                  <c:v>27.792477061381117</c:v>
                </c:pt>
                <c:pt idx="5">
                  <c:v>99.11030651874546</c:v>
                </c:pt>
                <c:pt idx="6">
                  <c:v>98.29952498104565</c:v>
                </c:pt>
                <c:pt idx="7">
                  <c:v>76.049451484627653</c:v>
                </c:pt>
                <c:pt idx="8">
                  <c:v>37.332312119946167</c:v>
                </c:pt>
                <c:pt idx="9">
                  <c:v>29.401661792693684</c:v>
                </c:pt>
              </c:numCache>
            </c:numRef>
          </c:val>
          <c:extLst>
            <c:ext xmlns:c16="http://schemas.microsoft.com/office/drawing/2014/chart" uri="{C3380CC4-5D6E-409C-BE32-E72D297353CC}">
              <c16:uniqueId val="{00000001-753C-4EE1-B257-AD0FD37C4350}"/>
            </c:ext>
          </c:extLst>
        </c:ser>
        <c:dLbls>
          <c:showLegendKey val="0"/>
          <c:showVal val="0"/>
          <c:showCatName val="0"/>
          <c:showSerName val="0"/>
          <c:showPercent val="0"/>
          <c:showBubbleSize val="0"/>
        </c:dLbls>
        <c:gapWidth val="219"/>
        <c:overlap val="-27"/>
        <c:axId val="1441359231"/>
        <c:axId val="481149167"/>
      </c:barChart>
      <c:catAx>
        <c:axId val="1441359231"/>
        <c:scaling>
          <c:orientation val="minMax"/>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Narrow" panose="020B0004020202020204" pitchFamily="34" charset="0"/>
                <a:ea typeface="+mn-ea"/>
                <a:cs typeface="+mn-cs"/>
              </a:defRPr>
            </a:pPr>
            <a:endParaRPr lang="es-CO"/>
          </a:p>
        </c:txPr>
        <c:crossAx val="481149167"/>
        <c:crosses val="autoZero"/>
        <c:auto val="1"/>
        <c:lblAlgn val="ctr"/>
        <c:lblOffset val="100"/>
        <c:noMultiLvlLbl val="0"/>
      </c:catAx>
      <c:valAx>
        <c:axId val="481149167"/>
        <c:scaling>
          <c:orientation val="minMax"/>
          <c:max val="100"/>
          <c:min val="0"/>
        </c:scaling>
        <c:delete val="0"/>
        <c:axPos val="l"/>
        <c:title>
          <c:tx>
            <c:rich>
              <a:bodyPr rot="-5400000" spcFirstLastPara="1" vertOverflow="ellipsis" vert="horz" wrap="square" anchor="ctr" anchorCtr="1"/>
              <a:lstStyle/>
              <a:p>
                <a:pPr>
                  <a:defRPr sz="1300" b="1" i="0" u="none" strike="noStrike" kern="1200" baseline="0">
                    <a:solidFill>
                      <a:schemeClr val="tx1"/>
                    </a:solidFill>
                    <a:latin typeface="Aptos Narrow" panose="020B0004020202020204" pitchFamily="34" charset="0"/>
                    <a:ea typeface="+mn-ea"/>
                    <a:cs typeface="+mn-cs"/>
                  </a:defRPr>
                </a:pPr>
                <a:r>
                  <a:rPr lang="es-ES_tradnl" sz="1300" b="1"/>
                  <a:t>Porcentaje de Inhibición</a:t>
                </a:r>
              </a:p>
            </c:rich>
          </c:tx>
          <c:layout>
            <c:manualLayout>
              <c:xMode val="edge"/>
              <c:yMode val="edge"/>
              <c:x val="2.1347977594233E-2"/>
              <c:y val="0.22208550335938088"/>
            </c:manualLayout>
          </c:layout>
          <c:overlay val="0"/>
          <c:spPr>
            <a:noFill/>
            <a:ln>
              <a:noFill/>
            </a:ln>
            <a:effectLst/>
          </c:spPr>
          <c:txPr>
            <a:bodyPr rot="-5400000" spcFirstLastPara="1" vertOverflow="ellipsis" vert="horz" wrap="square" anchor="ctr" anchorCtr="1"/>
            <a:lstStyle/>
            <a:p>
              <a:pPr>
                <a:defRPr sz="1300" b="1" i="0" u="none" strike="noStrike" kern="1200" baseline="0">
                  <a:solidFill>
                    <a:schemeClr val="tx1"/>
                  </a:solidFill>
                  <a:latin typeface="Aptos Narrow" panose="020B0004020202020204" pitchFamily="34" charset="0"/>
                  <a:ea typeface="+mn-ea"/>
                  <a:cs typeface="+mn-cs"/>
                </a:defRPr>
              </a:pPr>
              <a:endParaRPr lang="es-CO"/>
            </a:p>
          </c:txPr>
        </c:title>
        <c:numFmt formatCode="0" sourceLinked="0"/>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ptos Narrow" panose="020B0004020202020204" pitchFamily="34" charset="0"/>
                <a:ea typeface="+mn-ea"/>
                <a:cs typeface="+mn-cs"/>
              </a:defRPr>
            </a:pPr>
            <a:endParaRPr lang="es-CO"/>
          </a:p>
        </c:txPr>
        <c:crossAx val="1441359231"/>
        <c:crosses val="autoZero"/>
        <c:crossBetween val="between"/>
        <c:majorUnit val="20"/>
        <c:minorUnit val="20"/>
      </c:valAx>
      <c:spPr>
        <a:noFill/>
        <a:ln w="25400">
          <a:noFill/>
        </a:ln>
        <a:effectLst/>
      </c:spPr>
    </c:plotArea>
    <c:legend>
      <c:legendPos val="r"/>
      <c:legendEntry>
        <c:idx val="0"/>
        <c:txPr>
          <a:bodyPr rot="0" spcFirstLastPara="1" vertOverflow="ellipsis" vert="horz" wrap="square" anchor="ctr" anchorCtr="1"/>
          <a:lstStyle/>
          <a:p>
            <a:pPr>
              <a:defRPr sz="1000" b="0" i="1" u="none" strike="noStrike" kern="1200" baseline="0">
                <a:solidFill>
                  <a:schemeClr val="tx1"/>
                </a:solidFill>
                <a:latin typeface="Aptos Narrow" panose="020B0004020202020204" pitchFamily="34" charset="0"/>
                <a:ea typeface="+mn-ea"/>
                <a:cs typeface="+mn-cs"/>
              </a:defRPr>
            </a:pPr>
            <a:endParaRPr lang="es-CO"/>
          </a:p>
        </c:txPr>
      </c:legendEntry>
      <c:legendEntry>
        <c:idx val="1"/>
        <c:txPr>
          <a:bodyPr rot="0" spcFirstLastPara="1" vertOverflow="ellipsis" vert="horz" wrap="square" anchor="ctr" anchorCtr="1"/>
          <a:lstStyle/>
          <a:p>
            <a:pPr>
              <a:defRPr sz="1000" b="0" i="1" u="none" strike="noStrike" kern="1200" baseline="0">
                <a:solidFill>
                  <a:schemeClr val="tx1"/>
                </a:solidFill>
                <a:latin typeface="Aptos Narrow" panose="020B0004020202020204" pitchFamily="34" charset="0"/>
                <a:ea typeface="+mn-ea"/>
                <a:cs typeface="+mn-cs"/>
              </a:defRPr>
            </a:pPr>
            <a:endParaRPr lang="es-CO"/>
          </a:p>
        </c:txPr>
      </c:legendEntry>
      <c:layout>
        <c:manualLayout>
          <c:xMode val="edge"/>
          <c:yMode val="edge"/>
          <c:x val="0.76040757405324322"/>
          <c:y val="3.1718127930637885E-2"/>
          <c:w val="0.22757386576677915"/>
          <c:h val="9.115518486220525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ptos Narrow" panose="020B0004020202020204" pitchFamily="34"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Narrow" panose="020B0004020202020204" pitchFamily="34" charset="0"/>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36063579748847"/>
          <c:y val="6.0341599974152886E-2"/>
          <c:w val="0.85852776577631329"/>
          <c:h val="0.81977009375279153"/>
        </c:manualLayout>
      </c:layout>
      <c:barChart>
        <c:barDir val="col"/>
        <c:grouping val="clustered"/>
        <c:varyColors val="0"/>
        <c:ser>
          <c:idx val="2"/>
          <c:order val="0"/>
          <c:tx>
            <c:strRef>
              <c:f>Pectobacterium!$Q$78</c:f>
              <c:strCache>
                <c:ptCount val="1"/>
                <c:pt idx="0">
                  <c:v>Pectobacterium</c:v>
                </c:pt>
              </c:strCache>
            </c:strRef>
          </c:tx>
          <c:spPr>
            <a:noFill/>
            <a:ln>
              <a:solidFill>
                <a:schemeClr val="tx1"/>
              </a:solidFill>
            </a:ln>
            <a:effectLst/>
          </c:spPr>
          <c:invertIfNegative val="0"/>
          <c:errBars>
            <c:errBarType val="both"/>
            <c:errValType val="cust"/>
            <c:noEndCap val="0"/>
            <c:plus>
              <c:numRef>
                <c:f>Pectobacterium!$V$114:$V$120</c:f>
                <c:numCache>
                  <c:formatCode>General</c:formatCode>
                  <c:ptCount val="7"/>
                  <c:pt idx="0">
                    <c:v>0.28094453593057661</c:v>
                  </c:pt>
                  <c:pt idx="1">
                    <c:v>4.2298272404772547E-3</c:v>
                  </c:pt>
                  <c:pt idx="2">
                    <c:v>0.3256966975171342</c:v>
                  </c:pt>
                  <c:pt idx="3">
                    <c:v>6.3868990710874582E-2</c:v>
                  </c:pt>
                  <c:pt idx="4">
                    <c:v>0.50185434096344106</c:v>
                  </c:pt>
                  <c:pt idx="5">
                    <c:v>0.80838682788601945</c:v>
                  </c:pt>
                  <c:pt idx="6">
                    <c:v>0.56487200921012959</c:v>
                  </c:pt>
                </c:numCache>
              </c:numRef>
            </c:plus>
            <c:minus>
              <c:numRef>
                <c:f>Pectobacterium!$V$114:$V$120</c:f>
                <c:numCache>
                  <c:formatCode>General</c:formatCode>
                  <c:ptCount val="7"/>
                  <c:pt idx="0">
                    <c:v>0.28094453593057661</c:v>
                  </c:pt>
                  <c:pt idx="1">
                    <c:v>4.2298272404772547E-3</c:v>
                  </c:pt>
                  <c:pt idx="2">
                    <c:v>0.3256966975171342</c:v>
                  </c:pt>
                  <c:pt idx="3">
                    <c:v>6.3868990710874582E-2</c:v>
                  </c:pt>
                  <c:pt idx="4">
                    <c:v>0.50185434096344106</c:v>
                  </c:pt>
                  <c:pt idx="5">
                    <c:v>0.80838682788601945</c:v>
                  </c:pt>
                  <c:pt idx="6">
                    <c:v>0.56487200921012959</c:v>
                  </c:pt>
                </c:numCache>
              </c:numRef>
            </c:minus>
            <c:spPr>
              <a:noFill/>
              <a:ln w="9525" cap="flat" cmpd="sng" algn="ctr">
                <a:solidFill>
                  <a:schemeClr val="tx1">
                    <a:lumMod val="65000"/>
                    <a:lumOff val="35000"/>
                  </a:schemeClr>
                </a:solidFill>
                <a:round/>
              </a:ln>
              <a:effectLst/>
            </c:spPr>
          </c:errBars>
          <c:cat>
            <c:multiLvlStrRef>
              <c:f>Pectobacterium!$S$114:$T$120</c:f>
              <c:multiLvlStrCache>
                <c:ptCount val="7"/>
                <c:lvl>
                  <c:pt idx="0">
                    <c:v>PE (1,5 mg/mL)</c:v>
                  </c:pt>
                  <c:pt idx="1">
                    <c:v>MM (0,024 mg/mL)</c:v>
                  </c:pt>
                  <c:pt idx="2">
                    <c:v>BA  (0,024 mg/mL)</c:v>
                  </c:pt>
                  <c:pt idx="3">
                    <c:v>MD (0,024 mg/mL)</c:v>
                  </c:pt>
                  <c:pt idx="4">
                    <c:v>PE + MM</c:v>
                  </c:pt>
                  <c:pt idx="5">
                    <c:v>PE + BA</c:v>
                  </c:pt>
                  <c:pt idx="6">
                    <c:v>PE + MD</c:v>
                  </c:pt>
                </c:lvl>
                <c:lvl>
                  <c:pt idx="0">
                    <c:v>Componente individuales</c:v>
                  </c:pt>
                  <c:pt idx="4">
                    <c:v>mezcla</c:v>
                  </c:pt>
                </c:lvl>
              </c:multiLvlStrCache>
            </c:multiLvlStrRef>
          </c:cat>
          <c:val>
            <c:numRef>
              <c:f>Pectobacterium!$U$114:$U$120</c:f>
              <c:numCache>
                <c:formatCode>General</c:formatCode>
                <c:ptCount val="7"/>
                <c:pt idx="0">
                  <c:v>63.718211570542621</c:v>
                </c:pt>
                <c:pt idx="1">
                  <c:v>9.8855879946762286</c:v>
                </c:pt>
                <c:pt idx="2">
                  <c:v>5.5923904416523174</c:v>
                </c:pt>
                <c:pt idx="3">
                  <c:v>6.6925528407633932</c:v>
                </c:pt>
                <c:pt idx="4">
                  <c:v>99.987423226735999</c:v>
                </c:pt>
                <c:pt idx="5">
                  <c:v>93.708804962330703</c:v>
                </c:pt>
                <c:pt idx="6">
                  <c:v>97.453752884721098</c:v>
                </c:pt>
              </c:numCache>
            </c:numRef>
          </c:val>
          <c:extLst>
            <c:ext xmlns:c16="http://schemas.microsoft.com/office/drawing/2014/chart" uri="{C3380CC4-5D6E-409C-BE32-E72D297353CC}">
              <c16:uniqueId val="{00000000-6637-4122-A6FA-43E1430FC2DE}"/>
            </c:ext>
          </c:extLst>
        </c:ser>
        <c:ser>
          <c:idx val="0"/>
          <c:order val="1"/>
          <c:tx>
            <c:strRef>
              <c:f>Pectobacterium!$S$78</c:f>
              <c:strCache>
                <c:ptCount val="1"/>
                <c:pt idx="0">
                  <c:v> X. campestris</c:v>
                </c:pt>
              </c:strCache>
            </c:strRef>
          </c:tx>
          <c:spPr>
            <a:pattFill prst="wdDnDiag">
              <a:fgClr>
                <a:schemeClr val="accent3">
                  <a:lumMod val="75000"/>
                </a:schemeClr>
              </a:fgClr>
              <a:bgClr>
                <a:schemeClr val="bg1"/>
              </a:bgClr>
            </a:pattFill>
            <a:ln>
              <a:solidFill>
                <a:schemeClr val="accent3">
                  <a:lumMod val="50000"/>
                </a:schemeClr>
              </a:solidFill>
            </a:ln>
            <a:effectLst/>
          </c:spPr>
          <c:invertIfNegative val="0"/>
          <c:errBars>
            <c:errBarType val="both"/>
            <c:errValType val="cust"/>
            <c:noEndCap val="0"/>
            <c:plus>
              <c:numRef>
                <c:f>Pectobacterium!$X$114:$X$120</c:f>
                <c:numCache>
                  <c:formatCode>General</c:formatCode>
                  <c:ptCount val="7"/>
                  <c:pt idx="0">
                    <c:v>7.8226967511175216</c:v>
                  </c:pt>
                  <c:pt idx="1">
                    <c:v>0.43415475610953158</c:v>
                  </c:pt>
                  <c:pt idx="2">
                    <c:v>0.80568612342024482</c:v>
                  </c:pt>
                  <c:pt idx="3">
                    <c:v>1.4043687571845302</c:v>
                  </c:pt>
                  <c:pt idx="4">
                    <c:v>0.57286548487539402</c:v>
                  </c:pt>
                  <c:pt idx="5">
                    <c:v>0.7394896526829372</c:v>
                  </c:pt>
                  <c:pt idx="6">
                    <c:v>0.8956885789466017</c:v>
                  </c:pt>
                </c:numCache>
              </c:numRef>
            </c:plus>
            <c:minus>
              <c:numRef>
                <c:f>Pectobacterium!$X$114:$X$120</c:f>
                <c:numCache>
                  <c:formatCode>General</c:formatCode>
                  <c:ptCount val="7"/>
                  <c:pt idx="0">
                    <c:v>7.8226967511175216</c:v>
                  </c:pt>
                  <c:pt idx="1">
                    <c:v>0.43415475610953158</c:v>
                  </c:pt>
                  <c:pt idx="2">
                    <c:v>0.80568612342024482</c:v>
                  </c:pt>
                  <c:pt idx="3">
                    <c:v>1.4043687571845302</c:v>
                  </c:pt>
                  <c:pt idx="4">
                    <c:v>0.57286548487539402</c:v>
                  </c:pt>
                  <c:pt idx="5">
                    <c:v>0.7394896526829372</c:v>
                  </c:pt>
                  <c:pt idx="6">
                    <c:v>0.8956885789466017</c:v>
                  </c:pt>
                </c:numCache>
              </c:numRef>
            </c:minus>
            <c:spPr>
              <a:noFill/>
              <a:ln w="9525" cap="flat" cmpd="sng" algn="ctr">
                <a:solidFill>
                  <a:schemeClr val="tx1">
                    <a:lumMod val="65000"/>
                    <a:lumOff val="35000"/>
                  </a:schemeClr>
                </a:solidFill>
                <a:round/>
              </a:ln>
              <a:effectLst/>
            </c:spPr>
          </c:errBars>
          <c:cat>
            <c:multiLvlStrRef>
              <c:f>Pectobacterium!$S$114:$T$120</c:f>
              <c:multiLvlStrCache>
                <c:ptCount val="7"/>
                <c:lvl>
                  <c:pt idx="0">
                    <c:v>PE (1,5 mg/mL)</c:v>
                  </c:pt>
                  <c:pt idx="1">
                    <c:v>MM (0,024 mg/mL)</c:v>
                  </c:pt>
                  <c:pt idx="2">
                    <c:v>BA  (0,024 mg/mL)</c:v>
                  </c:pt>
                  <c:pt idx="3">
                    <c:v>MD (0,024 mg/mL)</c:v>
                  </c:pt>
                  <c:pt idx="4">
                    <c:v>PE + MM</c:v>
                  </c:pt>
                  <c:pt idx="5">
                    <c:v>PE + BA</c:v>
                  </c:pt>
                  <c:pt idx="6">
                    <c:v>PE + MD</c:v>
                  </c:pt>
                </c:lvl>
                <c:lvl>
                  <c:pt idx="0">
                    <c:v>Componente individuales</c:v>
                  </c:pt>
                  <c:pt idx="4">
                    <c:v>mezcla</c:v>
                  </c:pt>
                </c:lvl>
              </c:multiLvlStrCache>
            </c:multiLvlStrRef>
          </c:cat>
          <c:val>
            <c:numRef>
              <c:f>Pectobacterium!$W$114:$W$120</c:f>
              <c:numCache>
                <c:formatCode>General</c:formatCode>
                <c:ptCount val="7"/>
                <c:pt idx="0">
                  <c:v>81.483544538829307</c:v>
                </c:pt>
                <c:pt idx="1">
                  <c:v>29.000369010856684</c:v>
                </c:pt>
                <c:pt idx="2">
                  <c:v>46.893511235409505</c:v>
                </c:pt>
                <c:pt idx="3">
                  <c:v>50.787546854667987</c:v>
                </c:pt>
                <c:pt idx="4">
                  <c:v>97.630367651342993</c:v>
                </c:pt>
                <c:pt idx="5">
                  <c:v>96.9309949697994</c:v>
                </c:pt>
                <c:pt idx="6">
                  <c:v>94.501544019110895</c:v>
                </c:pt>
              </c:numCache>
            </c:numRef>
          </c:val>
          <c:extLst>
            <c:ext xmlns:c16="http://schemas.microsoft.com/office/drawing/2014/chart" uri="{C3380CC4-5D6E-409C-BE32-E72D297353CC}">
              <c16:uniqueId val="{00000001-6637-4122-A6FA-43E1430FC2DE}"/>
            </c:ext>
          </c:extLst>
        </c:ser>
        <c:dLbls>
          <c:showLegendKey val="0"/>
          <c:showVal val="0"/>
          <c:showCatName val="0"/>
          <c:showSerName val="0"/>
          <c:showPercent val="0"/>
          <c:showBubbleSize val="0"/>
        </c:dLbls>
        <c:gapWidth val="219"/>
        <c:overlap val="-27"/>
        <c:axId val="1441359231"/>
        <c:axId val="481149167"/>
      </c:barChart>
      <c:catAx>
        <c:axId val="1441359231"/>
        <c:scaling>
          <c:orientation val="minMax"/>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ptos Narrow" panose="020B0004020202020204" pitchFamily="34" charset="0"/>
                <a:ea typeface="+mn-ea"/>
                <a:cs typeface="+mn-cs"/>
              </a:defRPr>
            </a:pPr>
            <a:endParaRPr lang="es-CO"/>
          </a:p>
        </c:txPr>
        <c:crossAx val="481149167"/>
        <c:crosses val="autoZero"/>
        <c:auto val="1"/>
        <c:lblAlgn val="ctr"/>
        <c:lblOffset val="100"/>
        <c:noMultiLvlLbl val="0"/>
      </c:catAx>
      <c:valAx>
        <c:axId val="481149167"/>
        <c:scaling>
          <c:orientation val="minMax"/>
          <c:max val="1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Aptos Narrow" panose="020B0004020202020204" pitchFamily="34" charset="0"/>
                    <a:ea typeface="+mn-ea"/>
                    <a:cs typeface="+mn-cs"/>
                  </a:defRPr>
                </a:pPr>
                <a:r>
                  <a:rPr lang="es-ES_tradnl" sz="1000" b="1"/>
                  <a:t>Porcentaje de Inhibición</a:t>
                </a:r>
              </a:p>
            </c:rich>
          </c:tx>
          <c:layout>
            <c:manualLayout>
              <c:xMode val="edge"/>
              <c:yMode val="edge"/>
              <c:x val="2.1347977594233E-2"/>
              <c:y val="0.2220855033593808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ptos Narrow" panose="020B0004020202020204" pitchFamily="34" charset="0"/>
                  <a:ea typeface="+mn-ea"/>
                  <a:cs typeface="+mn-cs"/>
                </a:defRPr>
              </a:pPr>
              <a:endParaRPr lang="es-CO"/>
            </a:p>
          </c:txPr>
        </c:title>
        <c:numFmt formatCode="0" sourceLinked="0"/>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ptos Narrow" panose="020B0004020202020204" pitchFamily="34" charset="0"/>
                <a:ea typeface="+mn-ea"/>
                <a:cs typeface="+mn-cs"/>
              </a:defRPr>
            </a:pPr>
            <a:endParaRPr lang="es-CO"/>
          </a:p>
        </c:txPr>
        <c:crossAx val="1441359231"/>
        <c:crosses val="autoZero"/>
        <c:crossBetween val="between"/>
        <c:majorUnit val="20"/>
        <c:minorUnit val="20"/>
      </c:valAx>
      <c:spPr>
        <a:noFill/>
        <a:ln w="25400">
          <a:noFill/>
        </a:ln>
        <a:effectLst/>
      </c:spPr>
    </c:plotArea>
    <c:legend>
      <c:legendPos val="r"/>
      <c:legendEntry>
        <c:idx val="0"/>
        <c:txPr>
          <a:bodyPr rot="0" spcFirstLastPara="1" vertOverflow="ellipsis" vert="horz" wrap="square" anchor="ctr" anchorCtr="1"/>
          <a:lstStyle/>
          <a:p>
            <a:pPr>
              <a:defRPr sz="1000" b="0" i="1" u="none" strike="noStrike" kern="1200" baseline="0">
                <a:solidFill>
                  <a:schemeClr val="tx1"/>
                </a:solidFill>
                <a:latin typeface="Aptos Narrow" panose="020B0004020202020204" pitchFamily="34" charset="0"/>
                <a:ea typeface="+mn-ea"/>
                <a:cs typeface="+mn-cs"/>
              </a:defRPr>
            </a:pPr>
            <a:endParaRPr lang="es-CO"/>
          </a:p>
        </c:txPr>
      </c:legendEntry>
      <c:legendEntry>
        <c:idx val="1"/>
        <c:txPr>
          <a:bodyPr rot="0" spcFirstLastPara="1" vertOverflow="ellipsis" vert="horz" wrap="square" anchor="ctr" anchorCtr="1"/>
          <a:lstStyle/>
          <a:p>
            <a:pPr>
              <a:defRPr sz="1000" b="0" i="1" u="none" strike="noStrike" kern="1200" baseline="0">
                <a:solidFill>
                  <a:schemeClr val="tx1"/>
                </a:solidFill>
                <a:latin typeface="Aptos Narrow" panose="020B0004020202020204" pitchFamily="34" charset="0"/>
                <a:ea typeface="+mn-ea"/>
                <a:cs typeface="+mn-cs"/>
              </a:defRPr>
            </a:pPr>
            <a:endParaRPr lang="es-CO"/>
          </a:p>
        </c:txPr>
      </c:legendEntry>
      <c:layout>
        <c:manualLayout>
          <c:xMode val="edge"/>
          <c:yMode val="edge"/>
          <c:x val="0.33940788637703406"/>
          <c:y val="2.898530149996521E-2"/>
          <c:w val="0.18461974330601749"/>
          <c:h val="9.115518486220525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ptos Narrow" panose="020B0004020202020204" pitchFamily="34"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Narrow" panose="020B0004020202020204" pitchFamily="34" charset="0"/>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0.55624</cdr:x>
      <cdr:y>0.12757</cdr:y>
    </cdr:from>
    <cdr:to>
      <cdr:x>0.59493</cdr:x>
      <cdr:y>0.16643</cdr:y>
    </cdr:to>
    <cdr:sp macro="" textlink="">
      <cdr:nvSpPr>
        <cdr:cNvPr id="2" name="CuadroTexto 1">
          <a:extLst xmlns:a="http://schemas.openxmlformats.org/drawingml/2006/main">
            <a:ext uri="{FF2B5EF4-FFF2-40B4-BE49-F238E27FC236}">
              <a16:creationId xmlns:a16="http://schemas.microsoft.com/office/drawing/2014/main" id="{1B30E3B6-7C40-4D90-B92D-5B65D929F9E5}"/>
            </a:ext>
          </a:extLst>
        </cdr:cNvPr>
        <cdr:cNvSpPr txBox="1"/>
      </cdr:nvSpPr>
      <cdr:spPr>
        <a:xfrm xmlns:a="http://schemas.openxmlformats.org/drawingml/2006/main">
          <a:off x="2966999" y="432587"/>
          <a:ext cx="206373" cy="131771"/>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s-CO" sz="800"/>
            <a:t>cd</a:t>
          </a:r>
        </a:p>
      </cdr:txBody>
    </cdr:sp>
  </cdr:relSizeAnchor>
  <cdr:relSizeAnchor xmlns:cdr="http://schemas.openxmlformats.org/drawingml/2006/chartDrawing">
    <cdr:from>
      <cdr:x>0.6464</cdr:x>
      <cdr:y>0.20069</cdr:y>
    </cdr:from>
    <cdr:to>
      <cdr:x>0.6768</cdr:x>
      <cdr:y>0.23866</cdr:y>
    </cdr:to>
    <cdr:sp macro="" textlink="">
      <cdr:nvSpPr>
        <cdr:cNvPr id="3" name="CuadroTexto 1">
          <a:extLst xmlns:a="http://schemas.openxmlformats.org/drawingml/2006/main">
            <a:ext uri="{FF2B5EF4-FFF2-40B4-BE49-F238E27FC236}">
              <a16:creationId xmlns:a16="http://schemas.microsoft.com/office/drawing/2014/main" id="{9357F82F-F684-47F4-9D66-471EEFE8DFD6}"/>
            </a:ext>
          </a:extLst>
        </cdr:cNvPr>
        <cdr:cNvSpPr txBox="1"/>
      </cdr:nvSpPr>
      <cdr:spPr>
        <a:xfrm xmlns:a="http://schemas.openxmlformats.org/drawingml/2006/main">
          <a:off x="4810125" y="1011243"/>
          <a:ext cx="226219" cy="19128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d</a:t>
          </a:r>
        </a:p>
      </cdr:txBody>
    </cdr:sp>
  </cdr:relSizeAnchor>
  <cdr:relSizeAnchor xmlns:cdr="http://schemas.openxmlformats.org/drawingml/2006/chartDrawing">
    <cdr:from>
      <cdr:x>0.73235</cdr:x>
      <cdr:y>0.32158</cdr:y>
    </cdr:from>
    <cdr:to>
      <cdr:x>0.75899</cdr:x>
      <cdr:y>0.36148</cdr:y>
    </cdr:to>
    <cdr:sp macro="" textlink="">
      <cdr:nvSpPr>
        <cdr:cNvPr id="5" name="CuadroTexto 1">
          <a:extLst xmlns:a="http://schemas.openxmlformats.org/drawingml/2006/main">
            <a:ext uri="{FF2B5EF4-FFF2-40B4-BE49-F238E27FC236}">
              <a16:creationId xmlns:a16="http://schemas.microsoft.com/office/drawing/2014/main" id="{48E82C3B-7516-42A1-A273-F86B97DD38A6}"/>
            </a:ext>
          </a:extLst>
        </cdr:cNvPr>
        <cdr:cNvSpPr txBox="1"/>
      </cdr:nvSpPr>
      <cdr:spPr>
        <a:xfrm xmlns:a="http://schemas.openxmlformats.org/drawingml/2006/main">
          <a:off x="3906347" y="1090439"/>
          <a:ext cx="142098" cy="135297"/>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e</a:t>
          </a:r>
        </a:p>
      </cdr:txBody>
    </cdr:sp>
  </cdr:relSizeAnchor>
  <cdr:relSizeAnchor xmlns:cdr="http://schemas.openxmlformats.org/drawingml/2006/chartDrawing">
    <cdr:from>
      <cdr:x>0.90801</cdr:x>
      <cdr:y>0.66326</cdr:y>
    </cdr:from>
    <cdr:to>
      <cdr:x>0.93465</cdr:x>
      <cdr:y>0.70317</cdr:y>
    </cdr:to>
    <cdr:sp macro="" textlink="">
      <cdr:nvSpPr>
        <cdr:cNvPr id="6" name="CuadroTexto 1">
          <a:extLst xmlns:a="http://schemas.openxmlformats.org/drawingml/2006/main">
            <a:ext uri="{FF2B5EF4-FFF2-40B4-BE49-F238E27FC236}">
              <a16:creationId xmlns:a16="http://schemas.microsoft.com/office/drawing/2014/main" id="{5AC5B188-EB63-4CA7-9AD0-23F2B537CE08}"/>
            </a:ext>
          </a:extLst>
        </cdr:cNvPr>
        <cdr:cNvSpPr txBox="1"/>
      </cdr:nvSpPr>
      <cdr:spPr>
        <a:xfrm xmlns:a="http://schemas.openxmlformats.org/drawingml/2006/main">
          <a:off x="4843348" y="2249035"/>
          <a:ext cx="142098" cy="135331"/>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h</a:t>
          </a:r>
        </a:p>
      </cdr:txBody>
    </cdr:sp>
  </cdr:relSizeAnchor>
  <cdr:relSizeAnchor xmlns:cdr="http://schemas.openxmlformats.org/drawingml/2006/chartDrawing">
    <cdr:from>
      <cdr:x>0.21587</cdr:x>
      <cdr:y>0.17001</cdr:y>
    </cdr:from>
    <cdr:to>
      <cdr:x>0.25456</cdr:x>
      <cdr:y>0.20886</cdr:y>
    </cdr:to>
    <cdr:sp macro="" textlink="">
      <cdr:nvSpPr>
        <cdr:cNvPr id="8" name="CuadroTexto 1">
          <a:extLst xmlns:a="http://schemas.openxmlformats.org/drawingml/2006/main">
            <a:ext uri="{FF2B5EF4-FFF2-40B4-BE49-F238E27FC236}">
              <a16:creationId xmlns:a16="http://schemas.microsoft.com/office/drawing/2014/main" id="{9E9D4BFC-E600-5ACC-2BEC-82B0563FF386}"/>
            </a:ext>
          </a:extLst>
        </cdr:cNvPr>
        <cdr:cNvSpPr txBox="1"/>
      </cdr:nvSpPr>
      <cdr:spPr>
        <a:xfrm xmlns:a="http://schemas.openxmlformats.org/drawingml/2006/main">
          <a:off x="1151466" y="576477"/>
          <a:ext cx="206372" cy="131736"/>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d</a:t>
          </a:r>
        </a:p>
      </cdr:txBody>
    </cdr:sp>
  </cdr:relSizeAnchor>
  <cdr:relSizeAnchor xmlns:cdr="http://schemas.openxmlformats.org/drawingml/2006/chartDrawing">
    <cdr:from>
      <cdr:x>0.30086</cdr:x>
      <cdr:y>0.29716</cdr:y>
    </cdr:from>
    <cdr:to>
      <cdr:x>0.33955</cdr:x>
      <cdr:y>0.33602</cdr:y>
    </cdr:to>
    <cdr:sp macro="" textlink="">
      <cdr:nvSpPr>
        <cdr:cNvPr id="9" name="CuadroTexto 1">
          <a:extLst xmlns:a="http://schemas.openxmlformats.org/drawingml/2006/main">
            <a:ext uri="{FF2B5EF4-FFF2-40B4-BE49-F238E27FC236}">
              <a16:creationId xmlns:a16="http://schemas.microsoft.com/office/drawing/2014/main" id="{A75930F5-1D96-6A10-2DF9-54FAF1A4C947}"/>
            </a:ext>
          </a:extLst>
        </cdr:cNvPr>
        <cdr:cNvSpPr txBox="1"/>
      </cdr:nvSpPr>
      <cdr:spPr>
        <a:xfrm xmlns:a="http://schemas.openxmlformats.org/drawingml/2006/main">
          <a:off x="1604780" y="1007633"/>
          <a:ext cx="206372" cy="131771"/>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e</a:t>
          </a:r>
        </a:p>
      </cdr:txBody>
    </cdr:sp>
  </cdr:relSizeAnchor>
  <cdr:relSizeAnchor xmlns:cdr="http://schemas.openxmlformats.org/drawingml/2006/chartDrawing">
    <cdr:from>
      <cdr:x>0.38571</cdr:x>
      <cdr:y>0.60139</cdr:y>
    </cdr:from>
    <cdr:to>
      <cdr:x>0.44973</cdr:x>
      <cdr:y>0.6573</cdr:y>
    </cdr:to>
    <cdr:sp macro="" textlink="">
      <cdr:nvSpPr>
        <cdr:cNvPr id="10" name="CuadroTexto 1">
          <a:extLst xmlns:a="http://schemas.openxmlformats.org/drawingml/2006/main">
            <a:ext uri="{FF2B5EF4-FFF2-40B4-BE49-F238E27FC236}">
              <a16:creationId xmlns:a16="http://schemas.microsoft.com/office/drawing/2014/main" id="{BB7010DC-F13C-9A43-3DA9-2B6BF6B6F359}"/>
            </a:ext>
          </a:extLst>
        </cdr:cNvPr>
        <cdr:cNvSpPr txBox="1"/>
      </cdr:nvSpPr>
      <cdr:spPr>
        <a:xfrm xmlns:a="http://schemas.openxmlformats.org/drawingml/2006/main">
          <a:off x="2057400" y="2039267"/>
          <a:ext cx="341446" cy="189584"/>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gh</a:t>
          </a:r>
        </a:p>
      </cdr:txBody>
    </cdr:sp>
  </cdr:relSizeAnchor>
  <cdr:relSizeAnchor xmlns:cdr="http://schemas.openxmlformats.org/drawingml/2006/chartDrawing">
    <cdr:from>
      <cdr:x>0.15864</cdr:x>
      <cdr:y>0</cdr:y>
    </cdr:from>
    <cdr:to>
      <cdr:x>0.18528</cdr:x>
      <cdr:y>0.03991</cdr:y>
    </cdr:to>
    <cdr:sp macro="" textlink="">
      <cdr:nvSpPr>
        <cdr:cNvPr id="12" name="CuadroTexto 1">
          <a:extLst xmlns:a="http://schemas.openxmlformats.org/drawingml/2006/main">
            <a:ext uri="{FF2B5EF4-FFF2-40B4-BE49-F238E27FC236}">
              <a16:creationId xmlns:a16="http://schemas.microsoft.com/office/drawing/2014/main" id="{2E6AB5B2-90EA-42A8-B152-56BBDBFCD813}"/>
            </a:ext>
          </a:extLst>
        </cdr:cNvPr>
        <cdr:cNvSpPr txBox="1"/>
      </cdr:nvSpPr>
      <cdr:spPr>
        <a:xfrm xmlns:a="http://schemas.openxmlformats.org/drawingml/2006/main">
          <a:off x="846209" y="0"/>
          <a:ext cx="142097" cy="135331"/>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a</a:t>
          </a:r>
        </a:p>
      </cdr:txBody>
    </cdr:sp>
  </cdr:relSizeAnchor>
  <cdr:relSizeAnchor xmlns:cdr="http://schemas.openxmlformats.org/drawingml/2006/chartDrawing">
    <cdr:from>
      <cdr:x>0.24664</cdr:x>
      <cdr:y>0</cdr:y>
    </cdr:from>
    <cdr:to>
      <cdr:x>0.27328</cdr:x>
      <cdr:y>0.03991</cdr:y>
    </cdr:to>
    <cdr:sp macro="" textlink="">
      <cdr:nvSpPr>
        <cdr:cNvPr id="13" name="CuadroTexto 1">
          <a:extLst xmlns:a="http://schemas.openxmlformats.org/drawingml/2006/main">
            <a:ext uri="{FF2B5EF4-FFF2-40B4-BE49-F238E27FC236}">
              <a16:creationId xmlns:a16="http://schemas.microsoft.com/office/drawing/2014/main" id="{1C7F001F-ECD4-9054-10E4-31330EF6E840}"/>
            </a:ext>
          </a:extLst>
        </cdr:cNvPr>
        <cdr:cNvSpPr txBox="1"/>
      </cdr:nvSpPr>
      <cdr:spPr>
        <a:xfrm xmlns:a="http://schemas.openxmlformats.org/drawingml/2006/main">
          <a:off x="1315601" y="0"/>
          <a:ext cx="142097" cy="135331"/>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a</a:t>
          </a:r>
        </a:p>
      </cdr:txBody>
    </cdr:sp>
  </cdr:relSizeAnchor>
  <cdr:relSizeAnchor xmlns:cdr="http://schemas.openxmlformats.org/drawingml/2006/chartDrawing">
    <cdr:from>
      <cdr:x>0.58904</cdr:x>
      <cdr:y>0.01538</cdr:y>
    </cdr:from>
    <cdr:to>
      <cdr:x>0.61568</cdr:x>
      <cdr:y>0.05529</cdr:y>
    </cdr:to>
    <cdr:sp macro="" textlink="">
      <cdr:nvSpPr>
        <cdr:cNvPr id="14" name="CuadroTexto 1">
          <a:extLst xmlns:a="http://schemas.openxmlformats.org/drawingml/2006/main">
            <a:ext uri="{FF2B5EF4-FFF2-40B4-BE49-F238E27FC236}">
              <a16:creationId xmlns:a16="http://schemas.microsoft.com/office/drawing/2014/main" id="{15E44699-56A8-BEE0-D57F-9463F373D139}"/>
            </a:ext>
          </a:extLst>
        </cdr:cNvPr>
        <cdr:cNvSpPr txBox="1"/>
      </cdr:nvSpPr>
      <cdr:spPr>
        <a:xfrm xmlns:a="http://schemas.openxmlformats.org/drawingml/2006/main">
          <a:off x="3141962" y="52166"/>
          <a:ext cx="142098" cy="135331"/>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a</a:t>
          </a:r>
        </a:p>
      </cdr:txBody>
    </cdr:sp>
  </cdr:relSizeAnchor>
  <cdr:relSizeAnchor xmlns:cdr="http://schemas.openxmlformats.org/drawingml/2006/chartDrawing">
    <cdr:from>
      <cdr:x>0.66547</cdr:x>
      <cdr:y>0.01686</cdr:y>
    </cdr:from>
    <cdr:to>
      <cdr:x>0.73036</cdr:x>
      <cdr:y>0.07865</cdr:y>
    </cdr:to>
    <cdr:sp macro="" textlink="">
      <cdr:nvSpPr>
        <cdr:cNvPr id="15" name="CuadroTexto 1">
          <a:extLst xmlns:a="http://schemas.openxmlformats.org/drawingml/2006/main">
            <a:ext uri="{FF2B5EF4-FFF2-40B4-BE49-F238E27FC236}">
              <a16:creationId xmlns:a16="http://schemas.microsoft.com/office/drawing/2014/main" id="{4B2681AB-6E25-AA0F-7340-243CB80555C3}"/>
            </a:ext>
          </a:extLst>
        </cdr:cNvPr>
        <cdr:cNvSpPr txBox="1"/>
      </cdr:nvSpPr>
      <cdr:spPr>
        <a:xfrm xmlns:a="http://schemas.openxmlformats.org/drawingml/2006/main">
          <a:off x="3549632" y="57156"/>
          <a:ext cx="346093" cy="209543"/>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ab</a:t>
          </a:r>
        </a:p>
      </cdr:txBody>
    </cdr:sp>
  </cdr:relSizeAnchor>
  <cdr:relSizeAnchor xmlns:cdr="http://schemas.openxmlformats.org/drawingml/2006/chartDrawing">
    <cdr:from>
      <cdr:x>0.75846</cdr:x>
      <cdr:y>0.19881</cdr:y>
    </cdr:from>
    <cdr:to>
      <cdr:x>0.7851</cdr:x>
      <cdr:y>0.23872</cdr:y>
    </cdr:to>
    <cdr:sp macro="" textlink="">
      <cdr:nvSpPr>
        <cdr:cNvPr id="16" name="CuadroTexto 1">
          <a:extLst xmlns:a="http://schemas.openxmlformats.org/drawingml/2006/main">
            <a:ext uri="{FF2B5EF4-FFF2-40B4-BE49-F238E27FC236}">
              <a16:creationId xmlns:a16="http://schemas.microsoft.com/office/drawing/2014/main" id="{61CC1973-44CD-46EC-4AD1-7463B778F699}"/>
            </a:ext>
          </a:extLst>
        </cdr:cNvPr>
        <cdr:cNvSpPr txBox="1"/>
      </cdr:nvSpPr>
      <cdr:spPr>
        <a:xfrm xmlns:a="http://schemas.openxmlformats.org/drawingml/2006/main">
          <a:off x="4045618" y="674131"/>
          <a:ext cx="142098" cy="135331"/>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d</a:t>
          </a:r>
        </a:p>
      </cdr:txBody>
    </cdr:sp>
  </cdr:relSizeAnchor>
  <cdr:relSizeAnchor xmlns:cdr="http://schemas.openxmlformats.org/drawingml/2006/chartDrawing">
    <cdr:from>
      <cdr:x>0.3227</cdr:x>
      <cdr:y>0.09484</cdr:y>
    </cdr:from>
    <cdr:to>
      <cdr:x>0.39286</cdr:x>
      <cdr:y>0.15449</cdr:y>
    </cdr:to>
    <cdr:sp macro="" textlink="">
      <cdr:nvSpPr>
        <cdr:cNvPr id="17" name="CuadroTexto 1">
          <a:extLst xmlns:a="http://schemas.openxmlformats.org/drawingml/2006/main">
            <a:ext uri="{FF2B5EF4-FFF2-40B4-BE49-F238E27FC236}">
              <a16:creationId xmlns:a16="http://schemas.microsoft.com/office/drawing/2014/main" id="{61CC1973-44CD-46EC-4AD1-7463B778F699}"/>
            </a:ext>
          </a:extLst>
        </cdr:cNvPr>
        <cdr:cNvSpPr txBox="1"/>
      </cdr:nvSpPr>
      <cdr:spPr>
        <a:xfrm xmlns:a="http://schemas.openxmlformats.org/drawingml/2006/main">
          <a:off x="1721289" y="321580"/>
          <a:ext cx="374211" cy="20229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cd</a:t>
          </a:r>
        </a:p>
      </cdr:txBody>
    </cdr:sp>
  </cdr:relSizeAnchor>
  <cdr:relSizeAnchor xmlns:cdr="http://schemas.openxmlformats.org/drawingml/2006/chartDrawing">
    <cdr:from>
      <cdr:x>0.41784</cdr:x>
      <cdr:y>0.5249</cdr:y>
    </cdr:from>
    <cdr:to>
      <cdr:x>0.44621</cdr:x>
      <cdr:y>0.55971</cdr:y>
    </cdr:to>
    <cdr:sp macro="" textlink="">
      <cdr:nvSpPr>
        <cdr:cNvPr id="19" name="CuadroTexto 1">
          <a:extLst xmlns:a="http://schemas.openxmlformats.org/drawingml/2006/main">
            <a:ext uri="{FF2B5EF4-FFF2-40B4-BE49-F238E27FC236}">
              <a16:creationId xmlns:a16="http://schemas.microsoft.com/office/drawing/2014/main" id="{72BE66EF-C63B-6E62-9F34-C4101BCA701A}"/>
            </a:ext>
          </a:extLst>
        </cdr:cNvPr>
        <cdr:cNvSpPr txBox="1"/>
      </cdr:nvSpPr>
      <cdr:spPr>
        <a:xfrm xmlns:a="http://schemas.openxmlformats.org/drawingml/2006/main">
          <a:off x="2228781" y="1779870"/>
          <a:ext cx="151326" cy="118037"/>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f</a:t>
          </a:r>
        </a:p>
      </cdr:txBody>
    </cdr:sp>
  </cdr:relSizeAnchor>
  <cdr:relSizeAnchor xmlns:cdr="http://schemas.openxmlformats.org/drawingml/2006/chartDrawing">
    <cdr:from>
      <cdr:x>0.84486</cdr:x>
      <cdr:y>0.47808</cdr:y>
    </cdr:from>
    <cdr:to>
      <cdr:x>0.8715</cdr:x>
      <cdr:y>0.51798</cdr:y>
    </cdr:to>
    <cdr:sp macro="" textlink="">
      <cdr:nvSpPr>
        <cdr:cNvPr id="20" name="CuadroTexto 1">
          <a:extLst xmlns:a="http://schemas.openxmlformats.org/drawingml/2006/main">
            <a:ext uri="{FF2B5EF4-FFF2-40B4-BE49-F238E27FC236}">
              <a16:creationId xmlns:a16="http://schemas.microsoft.com/office/drawing/2014/main" id="{5312D3AE-46F7-FDB0-1DED-DA7A2CA35F0A}"/>
            </a:ext>
          </a:extLst>
        </cdr:cNvPr>
        <cdr:cNvSpPr txBox="1"/>
      </cdr:nvSpPr>
      <cdr:spPr>
        <a:xfrm xmlns:a="http://schemas.openxmlformats.org/drawingml/2006/main">
          <a:off x="4506476" y="1621105"/>
          <a:ext cx="142097" cy="135297"/>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f</a:t>
          </a:r>
        </a:p>
      </cdr:txBody>
    </cdr:sp>
  </cdr:relSizeAnchor>
  <cdr:relSizeAnchor xmlns:cdr="http://schemas.openxmlformats.org/drawingml/2006/chartDrawing">
    <cdr:from>
      <cdr:x>0.125</cdr:x>
      <cdr:y>0.05056</cdr:y>
    </cdr:from>
    <cdr:to>
      <cdr:x>0.18461</cdr:x>
      <cdr:y>0.09831</cdr:y>
    </cdr:to>
    <cdr:sp macro="" textlink="">
      <cdr:nvSpPr>
        <cdr:cNvPr id="21" name="CuadroTexto 1">
          <a:extLst xmlns:a="http://schemas.openxmlformats.org/drawingml/2006/main">
            <a:ext uri="{FF2B5EF4-FFF2-40B4-BE49-F238E27FC236}">
              <a16:creationId xmlns:a16="http://schemas.microsoft.com/office/drawing/2014/main" id="{4F064781-CFC7-83C0-61C5-2E9856EB0328}"/>
            </a:ext>
          </a:extLst>
        </cdr:cNvPr>
        <cdr:cNvSpPr txBox="1"/>
      </cdr:nvSpPr>
      <cdr:spPr>
        <a:xfrm xmlns:a="http://schemas.openxmlformats.org/drawingml/2006/main">
          <a:off x="666750" y="171451"/>
          <a:ext cx="317938" cy="161924"/>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bc</a:t>
          </a:r>
        </a:p>
      </cdr:txBody>
    </cdr:sp>
  </cdr:relSizeAnchor>
  <cdr:relSizeAnchor xmlns:cdr="http://schemas.openxmlformats.org/drawingml/2006/chartDrawing">
    <cdr:from>
      <cdr:x>0.93286</cdr:x>
      <cdr:y>0.56698</cdr:y>
    </cdr:from>
    <cdr:to>
      <cdr:x>0.9595</cdr:x>
      <cdr:y>0.60688</cdr:y>
    </cdr:to>
    <cdr:sp macro="" textlink="">
      <cdr:nvSpPr>
        <cdr:cNvPr id="22" name="CuadroTexto 1">
          <a:extLst xmlns:a="http://schemas.openxmlformats.org/drawingml/2006/main">
            <a:ext uri="{FF2B5EF4-FFF2-40B4-BE49-F238E27FC236}">
              <a16:creationId xmlns:a16="http://schemas.microsoft.com/office/drawing/2014/main" id="{D1421602-8594-3C79-E79E-8DE7F3A75239}"/>
            </a:ext>
          </a:extLst>
        </cdr:cNvPr>
        <cdr:cNvSpPr txBox="1"/>
      </cdr:nvSpPr>
      <cdr:spPr>
        <a:xfrm xmlns:a="http://schemas.openxmlformats.org/drawingml/2006/main">
          <a:off x="4975868" y="1922563"/>
          <a:ext cx="142097" cy="135296"/>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g</a:t>
          </a:r>
        </a:p>
      </cdr:txBody>
    </cdr:sp>
  </cdr:relSizeAnchor>
  <cdr:relSizeAnchor xmlns:cdr="http://schemas.openxmlformats.org/drawingml/2006/chartDrawing">
    <cdr:from>
      <cdr:x>0.50086</cdr:x>
      <cdr:y>0.58869</cdr:y>
    </cdr:from>
    <cdr:to>
      <cdr:x>0.5275</cdr:x>
      <cdr:y>0.62859</cdr:y>
    </cdr:to>
    <cdr:sp macro="" textlink="">
      <cdr:nvSpPr>
        <cdr:cNvPr id="23" name="CuadroTexto 1">
          <a:extLst xmlns:a="http://schemas.openxmlformats.org/drawingml/2006/main">
            <a:ext uri="{FF2B5EF4-FFF2-40B4-BE49-F238E27FC236}">
              <a16:creationId xmlns:a16="http://schemas.microsoft.com/office/drawing/2014/main" id="{AD1CDF9C-4ACC-FB9A-5E82-2EA3223D546C}"/>
            </a:ext>
          </a:extLst>
        </cdr:cNvPr>
        <cdr:cNvSpPr txBox="1"/>
      </cdr:nvSpPr>
      <cdr:spPr>
        <a:xfrm xmlns:a="http://schemas.openxmlformats.org/drawingml/2006/main">
          <a:off x="2671580" y="1996176"/>
          <a:ext cx="142097" cy="135296"/>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g</a:t>
          </a:r>
        </a:p>
      </cdr:txBody>
    </cdr:sp>
  </cdr:relSizeAnchor>
  <cdr:relSizeAnchor xmlns:cdr="http://schemas.openxmlformats.org/drawingml/2006/chartDrawing">
    <cdr:from>
      <cdr:x>0.81071</cdr:x>
      <cdr:y>0.59831</cdr:y>
    </cdr:from>
    <cdr:to>
      <cdr:x>0.87378</cdr:x>
      <cdr:y>0.64611</cdr:y>
    </cdr:to>
    <cdr:sp macro="" textlink="">
      <cdr:nvSpPr>
        <cdr:cNvPr id="24" name="CuadroTexto 1">
          <a:extLst xmlns:a="http://schemas.openxmlformats.org/drawingml/2006/main">
            <a:ext uri="{FF2B5EF4-FFF2-40B4-BE49-F238E27FC236}">
              <a16:creationId xmlns:a16="http://schemas.microsoft.com/office/drawing/2014/main" id="{5089994D-C9D7-4D7C-9954-D7753BA83689}"/>
            </a:ext>
          </a:extLst>
        </cdr:cNvPr>
        <cdr:cNvSpPr txBox="1"/>
      </cdr:nvSpPr>
      <cdr:spPr>
        <a:xfrm xmlns:a="http://schemas.openxmlformats.org/drawingml/2006/main">
          <a:off x="4324350" y="2028825"/>
          <a:ext cx="336370" cy="16208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gh</a:t>
          </a:r>
        </a:p>
      </cdr:txBody>
    </cdr:sp>
  </cdr:relSizeAnchor>
  <cdr:relSizeAnchor xmlns:cdr="http://schemas.openxmlformats.org/drawingml/2006/chartDrawing">
    <cdr:from>
      <cdr:x>0.46429</cdr:x>
      <cdr:y>0.59858</cdr:y>
    </cdr:from>
    <cdr:to>
      <cdr:x>0.52245</cdr:x>
      <cdr:y>0.65449</cdr:y>
    </cdr:to>
    <cdr:sp macro="" textlink="">
      <cdr:nvSpPr>
        <cdr:cNvPr id="25" name="CuadroTexto 1">
          <a:extLst xmlns:a="http://schemas.openxmlformats.org/drawingml/2006/main">
            <a:ext uri="{FF2B5EF4-FFF2-40B4-BE49-F238E27FC236}">
              <a16:creationId xmlns:a16="http://schemas.microsoft.com/office/drawing/2014/main" id="{5089994D-C9D7-4D7C-9954-D7753BA83689}"/>
            </a:ext>
          </a:extLst>
        </cdr:cNvPr>
        <cdr:cNvSpPr txBox="1"/>
      </cdr:nvSpPr>
      <cdr:spPr>
        <a:xfrm xmlns:a="http://schemas.openxmlformats.org/drawingml/2006/main">
          <a:off x="2476500" y="2029741"/>
          <a:ext cx="310233" cy="189583"/>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gh</a:t>
          </a:r>
        </a:p>
      </cdr:txBody>
    </cdr:sp>
  </cdr:relSizeAnchor>
</c:userShapes>
</file>

<file path=word/drawings/drawing2.xml><?xml version="1.0" encoding="utf-8"?>
<c:userShapes xmlns:c="http://schemas.openxmlformats.org/drawingml/2006/chart">
  <cdr:relSizeAnchor xmlns:cdr="http://schemas.openxmlformats.org/drawingml/2006/chartDrawing">
    <cdr:from>
      <cdr:x>0.9098</cdr:x>
      <cdr:y>0.68011</cdr:y>
    </cdr:from>
    <cdr:to>
      <cdr:x>0.93644</cdr:x>
      <cdr:y>0.72002</cdr:y>
    </cdr:to>
    <cdr:sp macro="" textlink="">
      <cdr:nvSpPr>
        <cdr:cNvPr id="6" name="CuadroTexto 1">
          <a:extLst xmlns:a="http://schemas.openxmlformats.org/drawingml/2006/main">
            <a:ext uri="{FF2B5EF4-FFF2-40B4-BE49-F238E27FC236}">
              <a16:creationId xmlns:a16="http://schemas.microsoft.com/office/drawing/2014/main" id="{5AC5B188-EB63-4CA7-9AD0-23F2B537CE08}"/>
            </a:ext>
          </a:extLst>
        </cdr:cNvPr>
        <cdr:cNvSpPr txBox="1"/>
      </cdr:nvSpPr>
      <cdr:spPr>
        <a:xfrm xmlns:a="http://schemas.openxmlformats.org/drawingml/2006/main">
          <a:off x="6866467" y="3426884"/>
          <a:ext cx="201084" cy="201083"/>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c</a:t>
          </a:r>
        </a:p>
      </cdr:txBody>
    </cdr:sp>
  </cdr:relSizeAnchor>
  <cdr:relSizeAnchor xmlns:cdr="http://schemas.openxmlformats.org/drawingml/2006/chartDrawing">
    <cdr:from>
      <cdr:x>0.63518</cdr:x>
      <cdr:y>0</cdr:y>
    </cdr:from>
    <cdr:to>
      <cdr:x>0.66755</cdr:x>
      <cdr:y>0.04164</cdr:y>
    </cdr:to>
    <cdr:sp macro="" textlink="">
      <cdr:nvSpPr>
        <cdr:cNvPr id="2" name="CuadroTexto 1">
          <a:extLst xmlns:a="http://schemas.openxmlformats.org/drawingml/2006/main">
            <a:ext uri="{FF2B5EF4-FFF2-40B4-BE49-F238E27FC236}">
              <a16:creationId xmlns:a16="http://schemas.microsoft.com/office/drawing/2014/main" id="{12AEF20F-0D16-1764-F713-60616BF29DAF}"/>
            </a:ext>
          </a:extLst>
        </cdr:cNvPr>
        <cdr:cNvSpPr txBox="1"/>
      </cdr:nvSpPr>
      <cdr:spPr>
        <a:xfrm xmlns:a="http://schemas.openxmlformats.org/drawingml/2006/main">
          <a:off x="3472771" y="0"/>
          <a:ext cx="176978" cy="131678"/>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a</a:t>
          </a:r>
        </a:p>
      </cdr:txBody>
    </cdr:sp>
  </cdr:relSizeAnchor>
  <cdr:relSizeAnchor xmlns:cdr="http://schemas.openxmlformats.org/drawingml/2006/chartDrawing">
    <cdr:from>
      <cdr:x>0.66691</cdr:x>
      <cdr:y>0.0153</cdr:y>
    </cdr:from>
    <cdr:to>
      <cdr:x>0.71951</cdr:x>
      <cdr:y>0.05723</cdr:y>
    </cdr:to>
    <cdr:sp macro="" textlink="">
      <cdr:nvSpPr>
        <cdr:cNvPr id="3" name="CuadroTexto 1">
          <a:extLst xmlns:a="http://schemas.openxmlformats.org/drawingml/2006/main">
            <a:ext uri="{FF2B5EF4-FFF2-40B4-BE49-F238E27FC236}">
              <a16:creationId xmlns:a16="http://schemas.microsoft.com/office/drawing/2014/main" id="{1C718FA7-83A6-33CB-6FDD-E277920D4DE3}"/>
            </a:ext>
          </a:extLst>
        </cdr:cNvPr>
        <cdr:cNvSpPr txBox="1"/>
      </cdr:nvSpPr>
      <cdr:spPr>
        <a:xfrm xmlns:a="http://schemas.openxmlformats.org/drawingml/2006/main">
          <a:off x="3646249" y="48390"/>
          <a:ext cx="287575" cy="132586"/>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ab</a:t>
          </a:r>
        </a:p>
      </cdr:txBody>
    </cdr:sp>
  </cdr:relSizeAnchor>
  <cdr:relSizeAnchor xmlns:cdr="http://schemas.openxmlformats.org/drawingml/2006/chartDrawing">
    <cdr:from>
      <cdr:x>0.86411</cdr:x>
      <cdr:y>0.02133</cdr:y>
    </cdr:from>
    <cdr:to>
      <cdr:x>0.94251</cdr:x>
      <cdr:y>0.06627</cdr:y>
    </cdr:to>
    <cdr:sp macro="" textlink="">
      <cdr:nvSpPr>
        <cdr:cNvPr id="4" name="CuadroTexto 1">
          <a:extLst xmlns:a="http://schemas.openxmlformats.org/drawingml/2006/main">
            <a:ext uri="{FF2B5EF4-FFF2-40B4-BE49-F238E27FC236}">
              <a16:creationId xmlns:a16="http://schemas.microsoft.com/office/drawing/2014/main" id="{1C718FA7-83A6-33CB-6FDD-E277920D4DE3}"/>
            </a:ext>
          </a:extLst>
        </cdr:cNvPr>
        <cdr:cNvSpPr txBox="1"/>
      </cdr:nvSpPr>
      <cdr:spPr>
        <a:xfrm xmlns:a="http://schemas.openxmlformats.org/drawingml/2006/main">
          <a:off x="4724400" y="67439"/>
          <a:ext cx="428625" cy="142111"/>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abc</a:t>
          </a:r>
        </a:p>
      </cdr:txBody>
    </cdr:sp>
  </cdr:relSizeAnchor>
  <cdr:relSizeAnchor xmlns:cdr="http://schemas.openxmlformats.org/drawingml/2006/chartDrawing">
    <cdr:from>
      <cdr:x>0.78985</cdr:x>
      <cdr:y>0.01979</cdr:y>
    </cdr:from>
    <cdr:to>
      <cdr:x>0.85366</cdr:x>
      <cdr:y>0.08434</cdr:y>
    </cdr:to>
    <cdr:sp macro="" textlink="">
      <cdr:nvSpPr>
        <cdr:cNvPr id="5" name="CuadroTexto 1">
          <a:extLst xmlns:a="http://schemas.openxmlformats.org/drawingml/2006/main">
            <a:ext uri="{FF2B5EF4-FFF2-40B4-BE49-F238E27FC236}">
              <a16:creationId xmlns:a16="http://schemas.microsoft.com/office/drawing/2014/main" id="{C539EFF2-108A-F12B-9F88-20C8757D9CE2}"/>
            </a:ext>
          </a:extLst>
        </cdr:cNvPr>
        <cdr:cNvSpPr txBox="1"/>
      </cdr:nvSpPr>
      <cdr:spPr>
        <a:xfrm xmlns:a="http://schemas.openxmlformats.org/drawingml/2006/main">
          <a:off x="4318363" y="62582"/>
          <a:ext cx="348887" cy="204118"/>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bc</a:t>
          </a:r>
        </a:p>
      </cdr:txBody>
    </cdr:sp>
  </cdr:relSizeAnchor>
  <cdr:relSizeAnchor xmlns:cdr="http://schemas.openxmlformats.org/drawingml/2006/chartDrawing">
    <cdr:from>
      <cdr:x>0.90915</cdr:x>
      <cdr:y>0.04146</cdr:y>
    </cdr:from>
    <cdr:to>
      <cdr:x>0.97735</cdr:x>
      <cdr:y>0.09036</cdr:y>
    </cdr:to>
    <cdr:sp macro="" textlink="">
      <cdr:nvSpPr>
        <cdr:cNvPr id="7" name="CuadroTexto 1">
          <a:extLst xmlns:a="http://schemas.openxmlformats.org/drawingml/2006/main">
            <a:ext uri="{FF2B5EF4-FFF2-40B4-BE49-F238E27FC236}">
              <a16:creationId xmlns:a16="http://schemas.microsoft.com/office/drawing/2014/main" id="{C539EFF2-108A-F12B-9F88-20C8757D9CE2}"/>
            </a:ext>
          </a:extLst>
        </cdr:cNvPr>
        <cdr:cNvSpPr txBox="1"/>
      </cdr:nvSpPr>
      <cdr:spPr>
        <a:xfrm xmlns:a="http://schemas.openxmlformats.org/drawingml/2006/main">
          <a:off x="4970649" y="131108"/>
          <a:ext cx="372876" cy="154642"/>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cd</a:t>
          </a:r>
        </a:p>
      </cdr:txBody>
    </cdr:sp>
  </cdr:relSizeAnchor>
  <cdr:relSizeAnchor xmlns:cdr="http://schemas.openxmlformats.org/drawingml/2006/chartDrawing">
    <cdr:from>
      <cdr:x>0.75724</cdr:x>
      <cdr:y>0.0493</cdr:y>
    </cdr:from>
    <cdr:to>
      <cdr:x>0.78961</cdr:x>
      <cdr:y>0.09094</cdr:y>
    </cdr:to>
    <cdr:sp macro="" textlink="">
      <cdr:nvSpPr>
        <cdr:cNvPr id="8" name="CuadroTexto 1">
          <a:extLst xmlns:a="http://schemas.openxmlformats.org/drawingml/2006/main">
            <a:ext uri="{FF2B5EF4-FFF2-40B4-BE49-F238E27FC236}">
              <a16:creationId xmlns:a16="http://schemas.microsoft.com/office/drawing/2014/main" id="{C539EFF2-108A-F12B-9F88-20C8757D9CE2}"/>
            </a:ext>
          </a:extLst>
        </cdr:cNvPr>
        <cdr:cNvSpPr txBox="1"/>
      </cdr:nvSpPr>
      <cdr:spPr>
        <a:xfrm xmlns:a="http://schemas.openxmlformats.org/drawingml/2006/main">
          <a:off x="4140072" y="155914"/>
          <a:ext cx="176979" cy="131678"/>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d</a:t>
          </a:r>
        </a:p>
      </cdr:txBody>
    </cdr:sp>
  </cdr:relSizeAnchor>
  <cdr:relSizeAnchor xmlns:cdr="http://schemas.openxmlformats.org/drawingml/2006/chartDrawing">
    <cdr:from>
      <cdr:x>0.54746</cdr:x>
      <cdr:y>0.39003</cdr:y>
    </cdr:from>
    <cdr:to>
      <cdr:x>0.57955</cdr:x>
      <cdr:y>0.43167</cdr:y>
    </cdr:to>
    <cdr:sp macro="" textlink="">
      <cdr:nvSpPr>
        <cdr:cNvPr id="9" name="CuadroTexto 1">
          <a:extLst xmlns:a="http://schemas.openxmlformats.org/drawingml/2006/main">
            <a:ext uri="{FF2B5EF4-FFF2-40B4-BE49-F238E27FC236}">
              <a16:creationId xmlns:a16="http://schemas.microsoft.com/office/drawing/2014/main" id="{C539EFF2-108A-F12B-9F88-20C8757D9CE2}"/>
            </a:ext>
          </a:extLst>
        </cdr:cNvPr>
        <cdr:cNvSpPr txBox="1"/>
      </cdr:nvSpPr>
      <cdr:spPr>
        <a:xfrm xmlns:a="http://schemas.openxmlformats.org/drawingml/2006/main">
          <a:off x="3072392" y="1330741"/>
          <a:ext cx="180093" cy="14206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g</a:t>
          </a:r>
        </a:p>
      </cdr:txBody>
    </cdr:sp>
  </cdr:relSizeAnchor>
  <cdr:relSizeAnchor xmlns:cdr="http://schemas.openxmlformats.org/drawingml/2006/chartDrawing">
    <cdr:from>
      <cdr:x>0.17724</cdr:x>
      <cdr:y>0.09741</cdr:y>
    </cdr:from>
    <cdr:to>
      <cdr:x>0.20961</cdr:x>
      <cdr:y>0.13905</cdr:y>
    </cdr:to>
    <cdr:sp macro="" textlink="">
      <cdr:nvSpPr>
        <cdr:cNvPr id="10" name="CuadroTexto 1">
          <a:extLst xmlns:a="http://schemas.openxmlformats.org/drawingml/2006/main">
            <a:ext uri="{FF2B5EF4-FFF2-40B4-BE49-F238E27FC236}">
              <a16:creationId xmlns:a16="http://schemas.microsoft.com/office/drawing/2014/main" id="{0346EFAD-5B3E-7743-088F-8E5E52CB2FF2}"/>
            </a:ext>
          </a:extLst>
        </cdr:cNvPr>
        <cdr:cNvSpPr txBox="1"/>
      </cdr:nvSpPr>
      <cdr:spPr>
        <a:xfrm xmlns:a="http://schemas.openxmlformats.org/drawingml/2006/main">
          <a:off x="994700" y="332343"/>
          <a:ext cx="181665" cy="14207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e</a:t>
          </a:r>
        </a:p>
      </cdr:txBody>
    </cdr:sp>
  </cdr:relSizeAnchor>
  <cdr:relSizeAnchor xmlns:cdr="http://schemas.openxmlformats.org/drawingml/2006/chartDrawing">
    <cdr:from>
      <cdr:x>0.14883</cdr:x>
      <cdr:y>0.30652</cdr:y>
    </cdr:from>
    <cdr:to>
      <cdr:x>0.18121</cdr:x>
      <cdr:y>0.34816</cdr:y>
    </cdr:to>
    <cdr:sp macro="" textlink="">
      <cdr:nvSpPr>
        <cdr:cNvPr id="11" name="CuadroTexto 1">
          <a:extLst xmlns:a="http://schemas.openxmlformats.org/drawingml/2006/main">
            <a:ext uri="{FF2B5EF4-FFF2-40B4-BE49-F238E27FC236}">
              <a16:creationId xmlns:a16="http://schemas.microsoft.com/office/drawing/2014/main" id="{0346EFAD-5B3E-7743-088F-8E5E52CB2FF2}"/>
            </a:ext>
          </a:extLst>
        </cdr:cNvPr>
        <cdr:cNvSpPr txBox="1"/>
      </cdr:nvSpPr>
      <cdr:spPr>
        <a:xfrm xmlns:a="http://schemas.openxmlformats.org/drawingml/2006/main">
          <a:off x="835253" y="1045818"/>
          <a:ext cx="181721" cy="14207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f</a:t>
          </a:r>
        </a:p>
      </cdr:txBody>
    </cdr:sp>
  </cdr:relSizeAnchor>
  <cdr:relSizeAnchor xmlns:cdr="http://schemas.openxmlformats.org/drawingml/2006/chartDrawing">
    <cdr:from>
      <cdr:x>0.42454</cdr:x>
      <cdr:y>0.43497</cdr:y>
    </cdr:from>
    <cdr:to>
      <cdr:x>0.45692</cdr:x>
      <cdr:y>0.47661</cdr:y>
    </cdr:to>
    <cdr:sp macro="" textlink="">
      <cdr:nvSpPr>
        <cdr:cNvPr id="12" name="CuadroTexto 1">
          <a:extLst xmlns:a="http://schemas.openxmlformats.org/drawingml/2006/main">
            <a:ext uri="{FF2B5EF4-FFF2-40B4-BE49-F238E27FC236}">
              <a16:creationId xmlns:a16="http://schemas.microsoft.com/office/drawing/2014/main" id="{0346EFAD-5B3E-7743-088F-8E5E52CB2FF2}"/>
            </a:ext>
          </a:extLst>
        </cdr:cNvPr>
        <cdr:cNvSpPr txBox="1"/>
      </cdr:nvSpPr>
      <cdr:spPr>
        <a:xfrm xmlns:a="http://schemas.openxmlformats.org/drawingml/2006/main">
          <a:off x="2321127" y="1375507"/>
          <a:ext cx="177033" cy="131678"/>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h</a:t>
          </a:r>
        </a:p>
      </cdr:txBody>
    </cdr:sp>
  </cdr:relSizeAnchor>
  <cdr:relSizeAnchor xmlns:cdr="http://schemas.openxmlformats.org/drawingml/2006/chartDrawing">
    <cdr:from>
      <cdr:x>0.3051</cdr:x>
      <cdr:y>0.58649</cdr:y>
    </cdr:from>
    <cdr:to>
      <cdr:x>0.33748</cdr:x>
      <cdr:y>0.62813</cdr:y>
    </cdr:to>
    <cdr:sp macro="" textlink="">
      <cdr:nvSpPr>
        <cdr:cNvPr id="13" name="CuadroTexto 1">
          <a:extLst xmlns:a="http://schemas.openxmlformats.org/drawingml/2006/main">
            <a:ext uri="{FF2B5EF4-FFF2-40B4-BE49-F238E27FC236}">
              <a16:creationId xmlns:a16="http://schemas.microsoft.com/office/drawing/2014/main" id="{0346EFAD-5B3E-7743-088F-8E5E52CB2FF2}"/>
            </a:ext>
          </a:extLst>
        </cdr:cNvPr>
        <cdr:cNvSpPr txBox="1"/>
      </cdr:nvSpPr>
      <cdr:spPr>
        <a:xfrm xmlns:a="http://schemas.openxmlformats.org/drawingml/2006/main">
          <a:off x="1712236" y="2001035"/>
          <a:ext cx="181721" cy="14207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i</a:t>
          </a:r>
        </a:p>
      </cdr:txBody>
    </cdr:sp>
  </cdr:relSizeAnchor>
  <cdr:relSizeAnchor xmlns:cdr="http://schemas.openxmlformats.org/drawingml/2006/chartDrawing">
    <cdr:from>
      <cdr:x>0.27348</cdr:x>
      <cdr:y>0.75042</cdr:y>
    </cdr:from>
    <cdr:to>
      <cdr:x>0.30585</cdr:x>
      <cdr:y>0.79206</cdr:y>
    </cdr:to>
    <cdr:sp macro="" textlink="">
      <cdr:nvSpPr>
        <cdr:cNvPr id="14" name="CuadroTexto 1">
          <a:extLst xmlns:a="http://schemas.openxmlformats.org/drawingml/2006/main">
            <a:ext uri="{FF2B5EF4-FFF2-40B4-BE49-F238E27FC236}">
              <a16:creationId xmlns:a16="http://schemas.microsoft.com/office/drawing/2014/main" id="{0346EFAD-5B3E-7743-088F-8E5E52CB2FF2}"/>
            </a:ext>
          </a:extLst>
        </cdr:cNvPr>
        <cdr:cNvSpPr txBox="1"/>
      </cdr:nvSpPr>
      <cdr:spPr>
        <a:xfrm xmlns:a="http://schemas.openxmlformats.org/drawingml/2006/main">
          <a:off x="1932661" y="3224411"/>
          <a:ext cx="228801" cy="178921"/>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j</a:t>
          </a:r>
        </a:p>
      </cdr:txBody>
    </cdr:sp>
  </cdr:relSizeAnchor>
  <cdr:relSizeAnchor xmlns:cdr="http://schemas.openxmlformats.org/drawingml/2006/chartDrawing">
    <cdr:from>
      <cdr:x>0.39283</cdr:x>
      <cdr:y>0.77641</cdr:y>
    </cdr:from>
    <cdr:to>
      <cdr:x>0.42521</cdr:x>
      <cdr:y>0.81805</cdr:y>
    </cdr:to>
    <cdr:sp macro="" textlink="">
      <cdr:nvSpPr>
        <cdr:cNvPr id="15" name="CuadroTexto 1">
          <a:extLst xmlns:a="http://schemas.openxmlformats.org/drawingml/2006/main">
            <a:ext uri="{FF2B5EF4-FFF2-40B4-BE49-F238E27FC236}">
              <a16:creationId xmlns:a16="http://schemas.microsoft.com/office/drawing/2014/main" id="{0346EFAD-5B3E-7743-088F-8E5E52CB2FF2}"/>
            </a:ext>
          </a:extLst>
        </cdr:cNvPr>
        <cdr:cNvSpPr txBox="1"/>
      </cdr:nvSpPr>
      <cdr:spPr>
        <a:xfrm xmlns:a="http://schemas.openxmlformats.org/drawingml/2006/main">
          <a:off x="2147727" y="2455254"/>
          <a:ext cx="177033" cy="131678"/>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k</a:t>
          </a:r>
        </a:p>
      </cdr:txBody>
    </cdr:sp>
  </cdr:relSizeAnchor>
  <cdr:relSizeAnchor xmlns:cdr="http://schemas.openxmlformats.org/drawingml/2006/chartDrawing">
    <cdr:from>
      <cdr:x>0.51381</cdr:x>
      <cdr:y>0.7646</cdr:y>
    </cdr:from>
    <cdr:to>
      <cdr:x>0.54619</cdr:x>
      <cdr:y>0.80624</cdr:y>
    </cdr:to>
    <cdr:sp macro="" textlink="">
      <cdr:nvSpPr>
        <cdr:cNvPr id="16" name="CuadroTexto 1">
          <a:extLst xmlns:a="http://schemas.openxmlformats.org/drawingml/2006/main">
            <a:ext uri="{FF2B5EF4-FFF2-40B4-BE49-F238E27FC236}">
              <a16:creationId xmlns:a16="http://schemas.microsoft.com/office/drawing/2014/main" id="{545C949E-EEB3-3CF8-5267-89CA3B0E578C}"/>
            </a:ext>
          </a:extLst>
        </cdr:cNvPr>
        <cdr:cNvSpPr txBox="1"/>
      </cdr:nvSpPr>
      <cdr:spPr>
        <a:xfrm xmlns:a="http://schemas.openxmlformats.org/drawingml/2006/main">
          <a:off x="2809198" y="2417907"/>
          <a:ext cx="177033" cy="131678"/>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800"/>
            <a:t>k</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8041411-977d-48ab-bf17-e6394f5acb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804A70AA807C48AE3F55789477CE63" ma:contentTypeVersion="16" ma:contentTypeDescription="Create a new document." ma:contentTypeScope="" ma:versionID="13d2375e3453d85c4e362d43fdbe8b64">
  <xsd:schema xmlns:xsd="http://www.w3.org/2001/XMLSchema" xmlns:xs="http://www.w3.org/2001/XMLSchema" xmlns:p="http://schemas.microsoft.com/office/2006/metadata/properties" xmlns:ns3="38041411-977d-48ab-bf17-e6394f5acb00" xmlns:ns4="cb8109e8-0b40-49e1-9632-e32ff04e458c" targetNamespace="http://schemas.microsoft.com/office/2006/metadata/properties" ma:root="true" ma:fieldsID="9a3cbc30d4f51099595f7c3f5d338d1e" ns3:_="" ns4:_="">
    <xsd:import namespace="38041411-977d-48ab-bf17-e6394f5acb00"/>
    <xsd:import namespace="cb8109e8-0b40-49e1-9632-e32ff04e45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41411-977d-48ab-bf17-e6394f5a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8109e8-0b40-49e1-9632-e32ff04e45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396A0-FBEF-4C9A-A04A-E79D63B4E526}">
  <ds:schemaRefs>
    <ds:schemaRef ds:uri="http://schemas.microsoft.com/sharepoint/v3/contenttype/forms"/>
  </ds:schemaRefs>
</ds:datastoreItem>
</file>

<file path=customXml/itemProps2.xml><?xml version="1.0" encoding="utf-8"?>
<ds:datastoreItem xmlns:ds="http://schemas.openxmlformats.org/officeDocument/2006/customXml" ds:itemID="{034155E0-9FB4-409B-A567-067BCC2BCFBA}">
  <ds:schemaRefs>
    <ds:schemaRef ds:uri="http://schemas.microsoft.com/office/2006/metadata/properties"/>
    <ds:schemaRef ds:uri="http://schemas.microsoft.com/office/infopath/2007/PartnerControls"/>
    <ds:schemaRef ds:uri="38041411-977d-48ab-bf17-e6394f5acb00"/>
  </ds:schemaRefs>
</ds:datastoreItem>
</file>

<file path=customXml/itemProps3.xml><?xml version="1.0" encoding="utf-8"?>
<ds:datastoreItem xmlns:ds="http://schemas.openxmlformats.org/officeDocument/2006/customXml" ds:itemID="{76FE8A65-285C-4805-814F-6734A6A6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41411-977d-48ab-bf17-e6394f5acb00"/>
    <ds:schemaRef ds:uri="cb8109e8-0b40-49e1-9632-e32ff04e4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2256</Words>
  <Characters>14327</Characters>
  <Application>Microsoft Office Word</Application>
  <DocSecurity>0</DocSecurity>
  <Lines>292</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Leidy Johanna Gomez Sampedro</cp:lastModifiedBy>
  <cp:revision>5</cp:revision>
  <dcterms:created xsi:type="dcterms:W3CDTF">2025-09-05T20:36:00Z</dcterms:created>
  <dcterms:modified xsi:type="dcterms:W3CDTF">2025-09-05T21:24:00Z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0x010100C9804A70AA807C48AE3F55789477CE63</vt:lpwstr>
  </property>
  <property fmtid="{D5CDD505-2E9C-101B-9397-08002B2CF9AE}" pid="3" name="GrammarlyDocumentId">
    <vt:lpwstr>647b7705-b9f7-49fd-a5db-4f75443f1b1b</vt:lpwstr>
  </property>
</Properties>
</file>